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 w:rsidRPr="003A511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r w:rsidR="005B6A51" w:rsidRPr="003A5113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="005B6A51" w:rsidRPr="003A5113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البيوكيمياء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proofErr w:type="gramStart"/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</w:t>
            </w:r>
            <w:proofErr w:type="gramEnd"/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 xml:space="preserve">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D7431D" w:rsidRDefault="00D7431D" w:rsidP="00A332D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43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Communication et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signalisation cellulaire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1672"/>
        <w:gridCol w:w="30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sz w:val="32"/>
                <w:szCs w:val="32"/>
                <w:rtl/>
              </w:rPr>
              <w:t>مدرس</w:t>
            </w:r>
            <w:proofErr w:type="gramEnd"/>
            <w:r w:rsidRPr="00A332DF">
              <w:rPr>
                <w:rFonts w:hint="cs"/>
                <w:sz w:val="32"/>
                <w:szCs w:val="32"/>
                <w:rtl/>
              </w:rPr>
              <w:t xml:space="preserve">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E712A8" w:rsidP="0036605F">
            <w:pPr>
              <w:spacing w:after="0" w:line="240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ثريا قماز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A332DF" w:rsidRPr="00DA5B45" w:rsidRDefault="00D7431D" w:rsidP="00774337">
            <w:pPr>
              <w:spacing w:after="0" w:line="240" w:lineRule="auto"/>
            </w:pPr>
            <w:r>
              <w:rPr>
                <w:u w:val="single"/>
              </w:rPr>
              <w:t>g</w:t>
            </w:r>
            <w:r w:rsidRPr="00A177DF">
              <w:rPr>
                <w:u w:val="single"/>
              </w:rPr>
              <w:t>uemmaz-t@univ-setif.dz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</w:pPr>
            <w:r w:rsidRPr="00774337">
              <w:t xml:space="preserve">    </w:t>
            </w:r>
            <w:r w:rsidR="00DA5B45">
              <w:rPr>
                <w:rFonts w:hint="cs"/>
                <w:rtl/>
              </w:rPr>
              <w:t xml:space="preserve">8-9.30 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  <w:r w:rsidR="00DA5B45">
              <w:rPr>
                <w:rFonts w:hint="cs"/>
                <w:rtl/>
              </w:rPr>
              <w:t xml:space="preserve"> 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</w:t>
            </w:r>
            <w:r w:rsidR="00DA5B45">
              <w:rPr>
                <w:rFonts w:hint="cs"/>
                <w:rtl/>
              </w:rPr>
              <w:t xml:space="preserve"> الاحد</w:t>
            </w:r>
            <w:r w:rsidRPr="00774337">
              <w:t xml:space="preserve">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المكتب 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D7431D" w:rsidP="00DA5B45">
            <w:pPr>
              <w:spacing w:after="0" w:line="240" w:lineRule="auto"/>
              <w:jc w:val="center"/>
            </w:pPr>
            <w:r>
              <w:t xml:space="preserve"> 11- </w:t>
            </w:r>
            <w:r>
              <w:rPr>
                <w:rFonts w:hint="cs"/>
                <w:rtl/>
              </w:rPr>
              <w:t xml:space="preserve"> 9.3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DA5B45" w:rsidP="00D7431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: </w:t>
            </w:r>
            <w:r w:rsidR="00D7431D">
              <w:rPr>
                <w:rFonts w:hint="cs"/>
                <w:rtl/>
              </w:rPr>
              <w:t>الثلاثاء</w:t>
            </w:r>
            <w:r w:rsidR="00A332DF" w:rsidRPr="00774337">
              <w:t xml:space="preserve"> </w:t>
            </w:r>
            <w:r w:rsidR="00A332DF">
              <w:rPr>
                <w:rFonts w:hint="cs"/>
                <w:rtl/>
              </w:rPr>
              <w:t>يوم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DA5B45" w:rsidP="00D7431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المدرج </w:t>
            </w:r>
            <w:r w:rsidR="00D7431D">
              <w:rPr>
                <w:rFonts w:hint="cs"/>
                <w:rtl/>
              </w:rPr>
              <w:t>4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A332DF" w:rsidP="00DA5B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</w:t>
            </w:r>
            <w:r w:rsidR="00DA5B45">
              <w:rPr>
                <w:rFonts w:hint="cs"/>
                <w:rtl/>
              </w:rPr>
              <w:t xml:space="preserve">: </w:t>
            </w:r>
            <w:proofErr w:type="spellStart"/>
            <w:r w:rsidR="00DA5B45">
              <w:rPr>
                <w:rFonts w:hint="cs"/>
                <w:rtl/>
              </w:rPr>
              <w:t>ك.ع.ط.ح</w:t>
            </w:r>
            <w:proofErr w:type="spellEnd"/>
            <w:r w:rsidR="00DA5B45">
              <w:rPr>
                <w:rFonts w:hint="cs"/>
                <w:rtl/>
              </w:rPr>
              <w:t>.</w:t>
            </w:r>
            <w:r w:rsidRPr="00774337">
              <w:t xml:space="preserve">                                  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83"/>
        <w:gridCol w:w="871"/>
        <w:gridCol w:w="1107"/>
        <w:gridCol w:w="852"/>
        <w:gridCol w:w="657"/>
        <w:gridCol w:w="864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504CF6">
        <w:tc>
          <w:tcPr>
            <w:tcW w:w="1203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763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>/قاعة الاستقبال</w:t>
            </w:r>
          </w:p>
        </w:tc>
        <w:tc>
          <w:tcPr>
            <w:tcW w:w="1160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1055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81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504CF6">
        <w:tc>
          <w:tcPr>
            <w:tcW w:w="120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76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691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59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5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354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5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:rsidTr="00504CF6">
        <w:tc>
          <w:tcPr>
            <w:tcW w:w="1203" w:type="pct"/>
          </w:tcPr>
          <w:p w:rsidR="00236309" w:rsidRPr="00774337" w:rsidRDefault="00236309" w:rsidP="00C11EDE">
            <w:pPr>
              <w:spacing w:after="0" w:line="240" w:lineRule="auto"/>
              <w:jc w:val="right"/>
            </w:pPr>
          </w:p>
        </w:tc>
        <w:tc>
          <w:tcPr>
            <w:tcW w:w="763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C11EDE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596" w:type="pct"/>
          </w:tcPr>
          <w:p w:rsidR="00236309" w:rsidRPr="00504CF6" w:rsidRDefault="00236309" w:rsidP="00774337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59" w:type="pct"/>
          </w:tcPr>
          <w:p w:rsidR="00236309" w:rsidRPr="00774337" w:rsidRDefault="00236309" w:rsidP="00C11EDE">
            <w:pPr>
              <w:spacing w:after="0" w:line="240" w:lineRule="auto"/>
              <w:jc w:val="right"/>
            </w:pPr>
          </w:p>
        </w:tc>
        <w:tc>
          <w:tcPr>
            <w:tcW w:w="354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2515C1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F167EE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504CF6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F167EE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504CF6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F167EE">
            <w:pPr>
              <w:spacing w:after="0" w:line="240" w:lineRule="auto"/>
              <w:jc w:val="right"/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504CF6">
            <w:pPr>
              <w:spacing w:after="0" w:line="240" w:lineRule="auto"/>
              <w:jc w:val="right"/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>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D675B1" w:rsidRDefault="00E712A8" w:rsidP="00D675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يمنح هذا </w:t>
            </w:r>
            <w:proofErr w:type="spellStart"/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المقياس،</w:t>
            </w:r>
            <w:r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>للطلاب</w:t>
            </w:r>
            <w:proofErr w:type="spellEnd"/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،</w:t>
            </w:r>
            <w:r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 xml:space="preserve"> رؤية عا</w:t>
            </w: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مة </w:t>
            </w:r>
            <w:r w:rsidR="00D675B1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حول آليات التواصل بين الخلايا؛ ابتداء من التعريف بأنواع الربيطات </w:t>
            </w:r>
            <w:r w:rsidR="003B350A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المتدخلة في نقل الرسائل بين الخلايا</w:t>
            </w:r>
            <w:r w:rsidR="00D675B1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 ثم أنواع المستقبلات و بعد ذلك أليات نقل الرسالة و الاستجابة داخل الخلايا.</w:t>
            </w:r>
          </w:p>
          <w:p w:rsidR="0042399D" w:rsidRPr="00774337" w:rsidRDefault="00D675B1" w:rsidP="00D675B1">
            <w:pPr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ي</w:t>
            </w:r>
            <w:r w:rsidR="00E712A8"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 xml:space="preserve">بدو </w:t>
            </w:r>
            <w:r w:rsidR="003B350A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أن </w:t>
            </w:r>
            <w:r w:rsidR="00E712A8"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 xml:space="preserve">معرفة هذه الآليات ضرورية </w:t>
            </w:r>
            <w:r w:rsidR="003B350A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لفه</w:t>
            </w: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م</w:t>
            </w:r>
            <w:r w:rsidR="003B350A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 </w:t>
            </w:r>
            <w:proofErr w:type="gramStart"/>
            <w:r w:rsidR="00E712A8"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>علم</w:t>
            </w:r>
            <w:proofErr w:type="gramEnd"/>
            <w:r w:rsidR="00E712A8"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 xml:space="preserve"> وظائف الأعضاء وعلم الأعصاب والأمراض المتعلقة بهذه التخصصات.</w:t>
            </w:r>
            <w:r w:rsidR="00E712A8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  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D7431D" w:rsidP="00D7431D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أساسي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محتوى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D7431D" w:rsidRDefault="00C50B80" w:rsidP="009C3C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59421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-</w:t>
            </w:r>
            <w:r w:rsidR="006D14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تصنيف مختلف الربيطات. </w:t>
            </w:r>
          </w:p>
          <w:p w:rsidR="00594210" w:rsidRDefault="00C50B80" w:rsidP="005942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ar-DZ"/>
              </w:rPr>
            </w:pPr>
            <w:r w:rsidRPr="0059421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-</w:t>
            </w:r>
            <w:r w:rsidR="006D141C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دراسة مختلف المستقبلات الغشائية </w:t>
            </w:r>
            <w:r w:rsidR="00594210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DZ"/>
              </w:rPr>
              <w:t xml:space="preserve">و آليات الاستجابة الخلوية </w:t>
            </w:r>
          </w:p>
          <w:p w:rsidR="00594210" w:rsidRDefault="00594210" w:rsidP="005942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أ- مستقبلات بشكل قنوات أيونية</w:t>
            </w:r>
          </w:p>
          <w:p w:rsidR="00594210" w:rsidRDefault="00594210" w:rsidP="005942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ب- مستقبلات مرافقة ببروتينات ج</w:t>
            </w:r>
          </w:p>
          <w:p w:rsidR="00594210" w:rsidRDefault="00594210" w:rsidP="005942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جـ- </w:t>
            </w:r>
            <w:proofErr w:type="gramStart"/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مستقبلات</w:t>
            </w:r>
            <w:proofErr w:type="gramEnd"/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مرتبطة في بنشاط إنزيمي</w:t>
            </w:r>
          </w:p>
          <w:p w:rsidR="00594210" w:rsidRDefault="00594210" w:rsidP="005942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د- الموت المبرمج للخلايا</w:t>
            </w:r>
          </w:p>
          <w:p w:rsidR="00C776F1" w:rsidRDefault="00594210" w:rsidP="00C776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</w:pPr>
            <w:r w:rsidRPr="0059421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- </w:t>
            </w:r>
            <w:proofErr w:type="gramStart"/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المستقبلات</w:t>
            </w:r>
            <w:proofErr w:type="gramEnd"/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النووية</w:t>
            </w:r>
          </w:p>
          <w:p w:rsidR="0042399D" w:rsidRPr="00774337" w:rsidRDefault="00C776F1" w:rsidP="00C776F1">
            <w:pPr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C776F1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</w:rPr>
              <w:t>4-</w:t>
            </w:r>
            <w:r w:rsidRPr="00C776F1"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المفاصل 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بين الخلايا بشكل فوهات أو ثغور</w:t>
            </w:r>
            <w:bookmarkStart w:id="0" w:name="_GoBack"/>
            <w:bookmarkEnd w:id="0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proofErr w:type="gramStart"/>
            <w:r w:rsidRPr="00A332DF">
              <w:rPr>
                <w:rFonts w:hint="cs"/>
                <w:rtl/>
              </w:rPr>
              <w:t>رصيد</w:t>
            </w:r>
            <w:proofErr w:type="gramEnd"/>
            <w:r w:rsidRPr="00A332DF">
              <w:rPr>
                <w:rFonts w:hint="cs"/>
                <w:rtl/>
              </w:rPr>
              <w:t xml:space="preserve"> المادة</w:t>
            </w:r>
          </w:p>
        </w:tc>
        <w:tc>
          <w:tcPr>
            <w:tcW w:w="6513" w:type="dxa"/>
          </w:tcPr>
          <w:p w:rsidR="0042399D" w:rsidRPr="00774337" w:rsidRDefault="00D7431D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04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معامل</w:t>
            </w:r>
            <w:proofErr w:type="gramEnd"/>
            <w:r w:rsidRPr="007F2103">
              <w:rPr>
                <w:rFonts w:hint="cs"/>
                <w:rtl/>
              </w:rPr>
              <w:t xml:space="preserve"> المادة</w:t>
            </w:r>
          </w:p>
        </w:tc>
        <w:tc>
          <w:tcPr>
            <w:tcW w:w="6513" w:type="dxa"/>
          </w:tcPr>
          <w:p w:rsidR="0042399D" w:rsidRPr="00774337" w:rsidRDefault="00D7431D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المهارات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691"/>
        <w:gridCol w:w="297"/>
        <w:gridCol w:w="847"/>
        <w:gridCol w:w="415"/>
        <w:gridCol w:w="705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10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تقييم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10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gridSpan w:val="2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gridSpan w:val="2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proofErr w:type="gramStart"/>
            <w:r w:rsidRPr="0029353E">
              <w:rPr>
                <w:rFonts w:hint="cs"/>
                <w:rtl/>
              </w:rPr>
              <w:t>معيار</w:t>
            </w:r>
            <w:proofErr w:type="gramEnd"/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900D78" w:rsidRDefault="006B258A" w:rsidP="007743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  <w:gridSpan w:val="2"/>
          </w:tcPr>
          <w:p w:rsidR="00595FC4" w:rsidRPr="00774337" w:rsidRDefault="00595FC4" w:rsidP="00244A64">
            <w:pPr>
              <w:spacing w:after="0" w:line="240" w:lineRule="auto"/>
              <w:jc w:val="right"/>
            </w:pPr>
          </w:p>
        </w:tc>
        <w:tc>
          <w:tcPr>
            <w:tcW w:w="99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6B258A" w:rsidRPr="00774337" w:rsidRDefault="006B258A" w:rsidP="00766985">
            <w:pPr>
              <w:spacing w:after="0" w:line="240" w:lineRule="auto"/>
              <w:jc w:val="center"/>
            </w:pPr>
          </w:p>
        </w:tc>
      </w:tr>
      <w:tr w:rsidR="00595FC4" w:rsidRPr="00774337" w:rsidTr="00774337">
        <w:tc>
          <w:tcPr>
            <w:tcW w:w="9060" w:type="dxa"/>
            <w:gridSpan w:val="10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244A64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691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1559" w:type="dxa"/>
            <w:gridSpan w:val="3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705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 w:rsidRPr="0029353E">
              <w:rPr>
                <w:rFonts w:hint="cs"/>
                <w:rtl/>
              </w:rPr>
              <w:t>معيار</w:t>
            </w:r>
            <w:proofErr w:type="gramEnd"/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:rsidTr="00244A64">
        <w:tc>
          <w:tcPr>
            <w:tcW w:w="977" w:type="dxa"/>
          </w:tcPr>
          <w:p w:rsidR="00595FC4" w:rsidRPr="00900D78" w:rsidRDefault="00595FC4" w:rsidP="007743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91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3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705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proofErr w:type="gramEnd"/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proofErr w:type="gramEnd"/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  <w:r w:rsidR="003C1A49" w:rsidRPr="009862F5">
              <w:t xml:space="preserve">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قائمة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المراجع </w:t>
            </w:r>
          </w:p>
        </w:tc>
      </w:tr>
      <w:tr w:rsidR="00D7431D" w:rsidRPr="00774337" w:rsidTr="00774337">
        <w:tc>
          <w:tcPr>
            <w:tcW w:w="2689" w:type="dxa"/>
          </w:tcPr>
          <w:p w:rsidR="00D7431D" w:rsidRPr="00774337" w:rsidRDefault="00D7431D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proofErr w:type="gramStart"/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proofErr w:type="gramEnd"/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D7431D" w:rsidRPr="00421DDA" w:rsidRDefault="00D7431D" w:rsidP="00E33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Abbaci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, M. (2008). Suivi de la fonction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21DDA">
              <w:rPr>
                <w:rFonts w:ascii="Times New Roman" w:hAnsi="Times New Roman" w:cs="Times New Roman"/>
                <w:sz w:val="24"/>
                <w:szCs w:val="24"/>
              </w:rPr>
              <w:t xml:space="preserve">alité des jonctions communicantes par la technique de gap-FRAP sur des modèles in vitro (2-D, 3-D) et ex vivo : Intérêt pour le diagnostic du cancer. Thèse de Doctorat, Université Henri </w:t>
            </w: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Poincare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 xml:space="preserve">- Nancy 1. </w:t>
            </w:r>
          </w:p>
          <w:p w:rsidR="00D7431D" w:rsidRPr="00421DDA" w:rsidRDefault="00D7431D" w:rsidP="00E33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Combarnous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, Y. 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). Communications et signalisations cellulaires. Lavoisier, Paris, p. 305</w:t>
            </w:r>
          </w:p>
          <w:p w:rsidR="00D7431D" w:rsidRPr="00774337" w:rsidRDefault="00D7431D" w:rsidP="00E33FF5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Moussard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, C. 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21DDA">
              <w:rPr>
                <w:rFonts w:ascii="Times New Roman" w:hAnsi="Times New Roman" w:cs="Times New Roman"/>
                <w:sz w:val="24"/>
                <w:szCs w:val="24"/>
              </w:rPr>
              <w:t xml:space="preserve">). Biologie moléculaire.  Biochimie des communications cellulaires. Editions De Boeck Université Bruxelles 311 p. </w:t>
            </w:r>
          </w:p>
        </w:tc>
      </w:tr>
      <w:tr w:rsidR="00D7431D" w:rsidRPr="00774337" w:rsidTr="00774337">
        <w:tc>
          <w:tcPr>
            <w:tcW w:w="2689" w:type="dxa"/>
          </w:tcPr>
          <w:p w:rsidR="00D7431D" w:rsidRPr="00774337" w:rsidRDefault="00D7431D" w:rsidP="00AE28C0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:rsidR="00D7431D" w:rsidRPr="00421DDA" w:rsidRDefault="00D7431D" w:rsidP="00D7431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Bockaert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J. (1995). Les récepteurs à sept domaines transmembranaires : physiologie et pathologie de la transduction. Médecine/science. 11 :382-394. </w:t>
            </w:r>
          </w:p>
          <w:p w:rsidR="00D7431D" w:rsidRPr="00774337" w:rsidRDefault="00D7431D" w:rsidP="00D7431D">
            <w:pPr>
              <w:spacing w:after="0" w:line="240" w:lineRule="auto"/>
            </w:pP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Bockaert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, J.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( 2012</w:t>
            </w:r>
            <w:proofErr w:type="gram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 xml:space="preserve">).  Les récepteurs couplés aux protéines  G : caractéristiques générales et mécanismes d’activation. Bull. Acad. </w:t>
            </w:r>
            <w:proofErr w:type="spellStart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>Natle</w:t>
            </w:r>
            <w:proofErr w:type="spellEnd"/>
            <w:r w:rsidRPr="00421DDA">
              <w:rPr>
                <w:rFonts w:ascii="Times New Roman" w:hAnsi="Times New Roman" w:cs="Times New Roman"/>
                <w:sz w:val="24"/>
                <w:szCs w:val="24"/>
              </w:rPr>
              <w:t xml:space="preserve"> Méd., 196, n°9 : 1765-1775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431D" w:rsidRPr="00774337" w:rsidRDefault="00D7431D" w:rsidP="00774337">
            <w:pPr>
              <w:spacing w:after="0" w:line="240" w:lineRule="auto"/>
            </w:pPr>
          </w:p>
        </w:tc>
      </w:tr>
      <w:tr w:rsidR="00D7431D" w:rsidRPr="00774337" w:rsidTr="00774337">
        <w:tc>
          <w:tcPr>
            <w:tcW w:w="2689" w:type="dxa"/>
          </w:tcPr>
          <w:p w:rsidR="00D7431D" w:rsidRPr="00774337" w:rsidRDefault="00D7431D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D7431D" w:rsidRPr="00774337" w:rsidRDefault="00D7431D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D7431D" w:rsidRPr="00774337" w:rsidRDefault="00D7431D" w:rsidP="00774337">
            <w:pPr>
              <w:spacing w:after="0" w:line="240" w:lineRule="auto"/>
            </w:pPr>
          </w:p>
          <w:p w:rsidR="00D7431D" w:rsidRPr="00774337" w:rsidRDefault="00D7431D" w:rsidP="00774337">
            <w:pPr>
              <w:spacing w:after="0" w:line="240" w:lineRule="auto"/>
            </w:pPr>
          </w:p>
          <w:p w:rsidR="00D7431D" w:rsidRPr="00774337" w:rsidRDefault="00D7431D" w:rsidP="00774337">
            <w:pPr>
              <w:spacing w:after="0" w:line="240" w:lineRule="auto"/>
            </w:pPr>
          </w:p>
          <w:p w:rsidR="00D7431D" w:rsidRPr="00774337" w:rsidRDefault="00D7431D" w:rsidP="00774337">
            <w:pPr>
              <w:spacing w:after="0" w:line="240" w:lineRule="auto"/>
            </w:pPr>
          </w:p>
        </w:tc>
      </w:tr>
      <w:tr w:rsidR="00D7431D" w:rsidRPr="00774337" w:rsidTr="00774337">
        <w:tc>
          <w:tcPr>
            <w:tcW w:w="2689" w:type="dxa"/>
          </w:tcPr>
          <w:p w:rsidR="00D7431D" w:rsidRPr="00774337" w:rsidRDefault="00D7431D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D7431D" w:rsidRPr="00774337" w:rsidRDefault="00D7431D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D7431D" w:rsidRPr="00774337" w:rsidRDefault="00D7431D" w:rsidP="00774337">
            <w:pPr>
              <w:spacing w:after="0" w:line="240" w:lineRule="auto"/>
            </w:pPr>
          </w:p>
          <w:p w:rsidR="00D7431D" w:rsidRPr="00774337" w:rsidRDefault="00D7431D" w:rsidP="00774337">
            <w:pPr>
              <w:spacing w:after="0" w:line="240" w:lineRule="auto"/>
            </w:pPr>
          </w:p>
          <w:p w:rsidR="00D7431D" w:rsidRPr="00774337" w:rsidRDefault="00D7431D" w:rsidP="00774337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2A140220"/>
    <w:multiLevelType w:val="hybridMultilevel"/>
    <w:tmpl w:val="A75A9D14"/>
    <w:lvl w:ilvl="0" w:tplc="5458197A">
      <w:start w:val="1"/>
      <w:numFmt w:val="arabicAlpha"/>
      <w:lvlText w:val="%1-"/>
      <w:lvlJc w:val="left"/>
      <w:pPr>
        <w:ind w:left="2520" w:hanging="21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B2313"/>
    <w:multiLevelType w:val="hybridMultilevel"/>
    <w:tmpl w:val="B0FC2274"/>
    <w:lvl w:ilvl="0" w:tplc="F4BC811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CAD5E4E"/>
    <w:multiLevelType w:val="hybridMultilevel"/>
    <w:tmpl w:val="0598DA8E"/>
    <w:lvl w:ilvl="0" w:tplc="2EF0FD1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"/>
  </w:num>
  <w:num w:numId="16">
    <w:abstractNumId w:val="4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36309"/>
    <w:rsid w:val="00244A64"/>
    <w:rsid w:val="002515C1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A5113"/>
    <w:rsid w:val="003B350A"/>
    <w:rsid w:val="003C1A49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504CF6"/>
    <w:rsid w:val="005307B2"/>
    <w:rsid w:val="00594210"/>
    <w:rsid w:val="00595FC4"/>
    <w:rsid w:val="005B6A51"/>
    <w:rsid w:val="005F6BBF"/>
    <w:rsid w:val="00606FA1"/>
    <w:rsid w:val="0061109B"/>
    <w:rsid w:val="006142FA"/>
    <w:rsid w:val="00653D1C"/>
    <w:rsid w:val="00662DE5"/>
    <w:rsid w:val="0067235B"/>
    <w:rsid w:val="00673AFF"/>
    <w:rsid w:val="0068070C"/>
    <w:rsid w:val="006873D3"/>
    <w:rsid w:val="006B258A"/>
    <w:rsid w:val="006B4A37"/>
    <w:rsid w:val="006D0532"/>
    <w:rsid w:val="006D141C"/>
    <w:rsid w:val="006E6096"/>
    <w:rsid w:val="00733787"/>
    <w:rsid w:val="00765534"/>
    <w:rsid w:val="00766985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00D78"/>
    <w:rsid w:val="00920663"/>
    <w:rsid w:val="00950DB8"/>
    <w:rsid w:val="0096267E"/>
    <w:rsid w:val="00964296"/>
    <w:rsid w:val="009862F5"/>
    <w:rsid w:val="009A4FF8"/>
    <w:rsid w:val="009B522E"/>
    <w:rsid w:val="009B73C9"/>
    <w:rsid w:val="009C3CCC"/>
    <w:rsid w:val="009E136F"/>
    <w:rsid w:val="00A0598F"/>
    <w:rsid w:val="00A274BD"/>
    <w:rsid w:val="00A332DF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D008E"/>
    <w:rsid w:val="00BD3330"/>
    <w:rsid w:val="00BE6AF2"/>
    <w:rsid w:val="00BE7223"/>
    <w:rsid w:val="00BF1D48"/>
    <w:rsid w:val="00C11EDE"/>
    <w:rsid w:val="00C50B80"/>
    <w:rsid w:val="00C61DA5"/>
    <w:rsid w:val="00C776F1"/>
    <w:rsid w:val="00C85F25"/>
    <w:rsid w:val="00CD0552"/>
    <w:rsid w:val="00CF6046"/>
    <w:rsid w:val="00D144DB"/>
    <w:rsid w:val="00D14FFF"/>
    <w:rsid w:val="00D4787E"/>
    <w:rsid w:val="00D675B1"/>
    <w:rsid w:val="00D7431D"/>
    <w:rsid w:val="00D75F05"/>
    <w:rsid w:val="00DA5B45"/>
    <w:rsid w:val="00DB1B06"/>
    <w:rsid w:val="00E043A8"/>
    <w:rsid w:val="00E04AFD"/>
    <w:rsid w:val="00E27395"/>
    <w:rsid w:val="00E30CE9"/>
    <w:rsid w:val="00E41592"/>
    <w:rsid w:val="00E712A8"/>
    <w:rsid w:val="00EB5CDD"/>
    <w:rsid w:val="00EF486D"/>
    <w:rsid w:val="00F005B7"/>
    <w:rsid w:val="00F16536"/>
    <w:rsid w:val="00F26E3B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C4F4D-576B-4D0E-B631-709A8C13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146</TotalTime>
  <Pages>3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Dell</cp:lastModifiedBy>
  <cp:revision>17</cp:revision>
  <cp:lastPrinted>2023-02-19T12:06:00Z</cp:lastPrinted>
  <dcterms:created xsi:type="dcterms:W3CDTF">2023-12-11T17:52:00Z</dcterms:created>
  <dcterms:modified xsi:type="dcterms:W3CDTF">2023-12-15T12:22:00Z</dcterms:modified>
</cp:coreProperties>
</file>