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  <w:sz w:val="28"/>
          <w:szCs w:val="28"/>
        </w:rPr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60"/>
      </w:tblGrid>
      <w:tr>
        <w:trPr>
          <w:cantSplit w:val="false"/>
        </w:trPr>
        <w:tc>
          <w:tcPr>
            <w:tcW w:type="dxa" w:w="90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b/>
                <w:b/>
                <w:bCs/>
                <w:sz w:val="24"/>
                <w:sz w:val="24"/>
                <w:szCs w:val="24"/>
                <w:rtl w:val="true"/>
              </w:rPr>
              <w:t xml:space="preserve">اسم م ت ع </w:t>
            </w:r>
            <w:r>
              <w:rPr>
                <w:b/>
                <w:bCs/>
                <w:sz w:val="24"/>
                <w:szCs w:val="24"/>
                <w:rtl w:val="true"/>
              </w:rPr>
              <w:t xml:space="preserve">: </w:t>
            </w:r>
            <w:r>
              <w:rPr>
                <w:b/>
                <w:b/>
                <w:bCs/>
                <w:sz w:val="24"/>
                <w:sz w:val="24"/>
                <w:szCs w:val="24"/>
                <w:rtl w:val="true"/>
              </w:rPr>
              <w:t xml:space="preserve">جامعة فرحات عباس سطيف 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b/>
                <w:b/>
                <w:bCs/>
                <w:sz w:val="24"/>
                <w:sz w:val="24"/>
                <w:szCs w:val="24"/>
                <w:rtl w:val="true"/>
              </w:rPr>
              <w:t>قسم</w:t>
            </w:r>
            <w:r>
              <w:rPr>
                <w:b/>
                <w:bCs/>
                <w:sz w:val="24"/>
                <w:szCs w:val="24"/>
                <w:rtl w:val="true"/>
              </w:rPr>
              <w:t xml:space="preserve">: </w:t>
            </w:r>
            <w:r>
              <w:rPr>
                <w:b/>
                <w:b/>
                <w:bCs/>
                <w:sz w:val="24"/>
                <w:sz w:val="24"/>
                <w:szCs w:val="24"/>
                <w:rtl w:val="true"/>
              </w:rPr>
              <w:t>بيوكيمياء</w:t>
            </w:r>
          </w:p>
        </w:tc>
      </w:tr>
    </w:tbl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62"/>
      </w:tblGrid>
      <w:tr>
        <w:trPr>
          <w:cantSplit w:val="false"/>
        </w:trPr>
        <w:tc>
          <w:tcPr>
            <w:tcW w:type="dxa" w:w="90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sz w:val="44"/>
                <w:sz w:val="44"/>
                <w:szCs w:val="44"/>
                <w:rtl w:val="true"/>
              </w:rPr>
              <w:t>منهج المادة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Cs/>
              </w:rPr>
              <w:t>(</w:t>
            </w:r>
            <w:r>
              <w:rPr>
                <w:b/>
                <w:b/>
                <w:bCs/>
                <w:rtl w:val="true"/>
              </w:rPr>
              <w:t>ينشر في موقع الكلية</w:t>
            </w:r>
            <w:r>
              <w:rPr>
                <w:b/>
                <w:b/>
                <w:bCs/>
              </w:rPr>
              <w:t xml:space="preserve"> </w:t>
            </w:r>
            <w:r>
              <w:rPr>
                <w:b/>
                <w:bCs/>
              </w:rPr>
              <w:t>)</w:t>
            </w:r>
          </w:p>
        </w:tc>
      </w:tr>
      <w:tr>
        <w:trPr>
          <w:cantSplit w:val="false"/>
        </w:trPr>
        <w:tc>
          <w:tcPr>
            <w:tcW w:type="dxa" w:w="90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sz w:val="36"/>
                <w:sz w:val="36"/>
                <w:szCs w:val="36"/>
                <w:rtl w:val="true"/>
              </w:rPr>
              <w:t>عنوان المادة</w:t>
            </w:r>
            <w:r>
              <w:rPr>
                <w:sz w:val="36"/>
                <w:sz w:val="36"/>
                <w:szCs w:val="36"/>
              </w:rPr>
              <w:t> </w:t>
            </w:r>
            <w:r>
              <w:rPr>
                <w:sz w:val="36"/>
                <w:szCs w:val="36"/>
              </w:rPr>
              <w:t xml:space="preserve">: </w:t>
            </w:r>
          </w:p>
        </w:tc>
      </w:tr>
    </w:tbl>
    <w:p>
      <w:pPr>
        <w:pStyle w:val="style0"/>
        <w:jc w:val="center"/>
      </w:pPr>
      <w:r>
        <w:rPr>
          <w:rtl w:val="true"/>
        </w:rPr>
        <w:t>ا</w:t>
      </w:r>
      <w:r>
        <w:rPr>
          <w:b/>
          <w:b/>
          <w:bCs/>
          <w:sz w:val="28"/>
          <w:sz w:val="28"/>
          <w:szCs w:val="28"/>
          <w:rtl w:val="true"/>
        </w:rPr>
        <w:t>لأغشية الحيوية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8067"/>
      </w:tblGrid>
      <w:tr>
        <w:trPr>
          <w:trHeight w:hRule="atLeast" w:val="547"/>
          <w:cantSplit w:val="false"/>
        </w:trPr>
        <w:tc>
          <w:tcPr>
            <w:tcW w:type="dxa" w:w="8067"/>
            <w:gridSpan w:val="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sz w:val="32"/>
                <w:sz w:val="32"/>
                <w:szCs w:val="32"/>
                <w:rtl w:val="true"/>
              </w:rPr>
              <w:t>مدرس المحاضرات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بوريش حمامة</w:t>
            </w:r>
          </w:p>
        </w:tc>
      </w:tr>
      <w:tr>
        <w:trPr>
          <w:trHeight w:hRule="atLeast" w:val="269"/>
          <w:cantSplit w:val="false"/>
        </w:trPr>
        <w:tc>
          <w:tcPr>
            <w:tcW w:type="dxa" w:w="8067"/>
            <w:gridSpan w:val="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15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الامايل</w:t>
            </w:r>
            <w:r>
              <w:rPr/>
              <w:t xml:space="preserve">  </w:t>
            </w:r>
          </w:p>
        </w:tc>
        <w:tc>
          <w:tcPr>
            <w:tcW w:type="dxa" w:w="25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16"/>
                <w:szCs w:val="16"/>
              </w:rPr>
              <w:t>bouriche_ha</w:t>
            </w:r>
            <w:r>
              <w:rPr>
                <w:sz w:val="20"/>
                <w:szCs w:val="20"/>
              </w:rPr>
              <w:t>@</w:t>
            </w:r>
            <w:r>
              <w:rPr>
                <w:sz w:val="16"/>
                <w:szCs w:val="16"/>
              </w:rPr>
              <w:t>hoo.Fr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0"/>
                <w:szCs w:val="20"/>
              </w:rPr>
              <w:t>bouriche@univ-setif.dz</w:t>
            </w:r>
          </w:p>
        </w:tc>
        <w:tc>
          <w:tcPr>
            <w:tcW w:type="dxa" w:w="14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15.30- 14.00</w:t>
            </w:r>
          </w:p>
        </w:tc>
        <w:tc>
          <w:tcPr>
            <w:tcW w:type="dxa" w:w="15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يوم</w:t>
            </w:r>
            <w:r>
              <w:rPr>
                <w:rtl w:val="true"/>
              </w:rPr>
              <w:t xml:space="preserve">: </w:t>
            </w:r>
            <w:r>
              <w:rPr>
                <w:rtl w:val="true"/>
              </w:rPr>
              <w:t>الأحد</w:t>
            </w:r>
          </w:p>
        </w:tc>
      </w:tr>
      <w:tr>
        <w:trPr>
          <w:cantSplit w:val="false"/>
        </w:trPr>
        <w:tc>
          <w:tcPr>
            <w:tcW w:type="dxa" w:w="15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هاتف المكتب</w:t>
            </w:r>
            <w:r>
              <w:rPr/>
              <w:t xml:space="preserve"> </w:t>
            </w:r>
          </w:p>
        </w:tc>
        <w:tc>
          <w:tcPr>
            <w:tcW w:type="dxa" w:w="25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4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/>
              <w:t>12.30- 14.00</w:t>
            </w:r>
          </w:p>
        </w:tc>
        <w:tc>
          <w:tcPr>
            <w:tcW w:type="dxa" w:w="15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يوم</w:t>
            </w:r>
            <w:r>
              <w:rPr>
                <w:rtl w:val="true"/>
              </w:rPr>
              <w:t xml:space="preserve">: </w:t>
            </w:r>
            <w:r>
              <w:rPr>
                <w:rtl w:val="true"/>
              </w:rPr>
              <w:t>لأثنين</w:t>
            </w:r>
          </w:p>
        </w:tc>
      </w:tr>
      <w:tr>
        <w:trPr>
          <w:cantSplit w:val="false"/>
        </w:trPr>
        <w:tc>
          <w:tcPr>
            <w:tcW w:type="dxa" w:w="15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هاتف الأمانة</w:t>
            </w:r>
          </w:p>
        </w:tc>
        <w:tc>
          <w:tcPr>
            <w:tcW w:type="dxa" w:w="25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4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/>
            </w:r>
          </w:p>
        </w:tc>
        <w:tc>
          <w:tcPr>
            <w:tcW w:type="dxa" w:w="15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يوم</w:t>
            </w:r>
            <w:r>
              <w:rPr/>
              <w:t>:</w:t>
            </w:r>
          </w:p>
        </w:tc>
      </w:tr>
      <w:tr>
        <w:trPr>
          <w:cantSplit w:val="false"/>
        </w:trPr>
        <w:tc>
          <w:tcPr>
            <w:tcW w:type="dxa" w:w="15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أخر</w:t>
            </w:r>
          </w:p>
        </w:tc>
        <w:tc>
          <w:tcPr>
            <w:tcW w:type="dxa" w:w="25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0776339914</w:t>
            </w:r>
          </w:p>
        </w:tc>
        <w:tc>
          <w:tcPr>
            <w:tcW w:type="dxa" w:w="14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20          </w:t>
            </w:r>
            <w:r>
              <w:rPr>
                <w:rtl w:val="true"/>
              </w:rPr>
              <w:t>مكتب</w:t>
            </w:r>
          </w:p>
        </w:tc>
        <w:tc>
          <w:tcPr>
            <w:tcW w:type="dxa" w:w="15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F</w:t>
            </w:r>
            <w:r>
              <w:rPr>
                <w:sz w:val="20"/>
                <w:szCs w:val="20"/>
              </w:rPr>
              <w:t>NS : SAM2, A4</w:t>
            </w:r>
            <w:r>
              <w:rPr/>
              <w:t> </w:t>
            </w:r>
          </w:p>
        </w:tc>
        <w:tc>
          <w:tcPr>
            <w:tcW w:type="dxa" w:w="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مبنى</w:t>
            </w:r>
            <w:r>
              <w:rPr/>
              <w:t xml:space="preserve">:                                   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285"/>
      </w:tblGrid>
      <w:tr>
        <w:trPr>
          <w:cantSplit w:val="false"/>
        </w:trPr>
        <w:tc>
          <w:tcPr>
            <w:tcW w:type="dxa" w:w="9285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sz w:val="36"/>
                <w:sz w:val="36"/>
                <w:szCs w:val="36"/>
                <w:rtl w:val="true"/>
              </w:rPr>
              <w:t>أعمال موجهة</w:t>
            </w:r>
            <w:r>
              <w:rPr>
                <w:sz w:val="36"/>
                <w:sz w:val="36"/>
                <w:szCs w:val="36"/>
              </w:rPr>
              <w:t xml:space="preserve">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sz w:val="40"/>
                <w:szCs w:val="40"/>
              </w:rPr>
              <w:t>(</w:t>
            </w:r>
            <w:r>
              <w:rPr>
                <w:sz w:val="40"/>
                <w:sz w:val="40"/>
                <w:szCs w:val="40"/>
                <w:rtl w:val="true"/>
              </w:rPr>
              <w:t>استقبال الطلبة أسبوعيا</w:t>
            </w:r>
            <w:r>
              <w:rPr>
                <w:sz w:val="40"/>
                <w:szCs w:val="40"/>
              </w:rPr>
              <w:t>)</w:t>
            </w:r>
          </w:p>
        </w:tc>
      </w:tr>
      <w:tr>
        <w:trPr>
          <w:cantSplit w:val="false"/>
        </w:trPr>
        <w:tc>
          <w:tcPr>
            <w:tcW w:type="dxa" w:w="240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لقب واسم المدرسين</w:t>
            </w:r>
          </w:p>
        </w:tc>
        <w:tc>
          <w:tcPr>
            <w:tcW w:type="dxa" w:w="165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مكتب</w:t>
            </w:r>
            <w:r>
              <w:rPr>
                <w:rtl w:val="true"/>
              </w:rPr>
              <w:t>/</w:t>
            </w:r>
            <w:r>
              <w:rPr>
                <w:rtl w:val="true"/>
              </w:rPr>
              <w:t>قاعة الاستقبال</w:t>
            </w:r>
          </w:p>
        </w:tc>
        <w:tc>
          <w:tcPr>
            <w:tcW w:type="dxa" w:w="1744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 xml:space="preserve">حصة </w:t>
            </w:r>
            <w:r>
              <w:rPr/>
              <w:t>1</w:t>
            </w:r>
          </w:p>
        </w:tc>
        <w:tc>
          <w:tcPr>
            <w:tcW w:type="dxa" w:w="1742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حصة</w:t>
            </w:r>
            <w:r>
              <w:rPr/>
              <w:t>2</w:t>
            </w:r>
          </w:p>
        </w:tc>
        <w:tc>
          <w:tcPr>
            <w:tcW w:type="dxa" w:w="1737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 xml:space="preserve">حصة </w:t>
            </w:r>
            <w:r>
              <w:rPr/>
              <w:t>3</w:t>
            </w:r>
          </w:p>
        </w:tc>
      </w:tr>
      <w:tr>
        <w:trPr>
          <w:cantSplit w:val="false"/>
        </w:trPr>
        <w:tc>
          <w:tcPr>
            <w:tcW w:type="dxa" w:w="240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65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اليوم</w:t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اليوم</w:t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اليوم</w:t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fldChar w:fldCharType="begin">
                <w:ffData>
                  <w:name w:val="Texte16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0" w:name="Texte161"/>
            <w:bookmarkStart w:id="1" w:name="Texte16"/>
            <w:bookmarkStart w:id="2" w:name="Texte16"/>
            <w:bookmarkEnd w:id="2"/>
            <w:r>
              <w:rPr/>
            </w:r>
            <w:bookmarkEnd w:id="0"/>
            <w:r>
              <w:rPr/>
            </w:r>
            <w:r>
              <w:fldChar w:fldCharType="end"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</w:tbl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285"/>
      </w:tblGrid>
      <w:tr>
        <w:trPr>
          <w:cantSplit w:val="false"/>
        </w:trPr>
        <w:tc>
          <w:tcPr>
            <w:tcW w:type="dxa" w:w="9285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sz w:val="36"/>
                <w:sz w:val="36"/>
                <w:szCs w:val="36"/>
                <w:rtl w:val="true"/>
              </w:rPr>
              <w:t>أعمال تطبيقية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sz w:val="40"/>
                <w:szCs w:val="40"/>
              </w:rPr>
              <w:t>(</w:t>
            </w:r>
            <w:r>
              <w:rPr>
                <w:sz w:val="40"/>
                <w:sz w:val="40"/>
                <w:szCs w:val="40"/>
                <w:rtl w:val="true"/>
              </w:rPr>
              <w:t>استقبال الطلبة أسبوعيا</w:t>
            </w:r>
            <w:r>
              <w:rPr>
                <w:sz w:val="40"/>
                <w:szCs w:val="40"/>
              </w:rPr>
              <w:t>)</w:t>
            </w:r>
          </w:p>
        </w:tc>
      </w:tr>
      <w:tr>
        <w:trPr>
          <w:cantSplit w:val="false"/>
        </w:trPr>
        <w:tc>
          <w:tcPr>
            <w:tcW w:type="dxa" w:w="240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لقب واسم المدرسين</w:t>
            </w:r>
          </w:p>
        </w:tc>
        <w:tc>
          <w:tcPr>
            <w:tcW w:type="dxa" w:w="165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مكتب</w:t>
            </w:r>
            <w:r>
              <w:rPr>
                <w:rtl w:val="true"/>
              </w:rPr>
              <w:t>/</w:t>
            </w:r>
            <w:r>
              <w:rPr>
                <w:rtl w:val="true"/>
              </w:rPr>
              <w:t>قاعة الاستقبال</w:t>
            </w:r>
          </w:p>
        </w:tc>
        <w:tc>
          <w:tcPr>
            <w:tcW w:type="dxa" w:w="1744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 xml:space="preserve">حصة </w:t>
            </w:r>
            <w:r>
              <w:rPr/>
              <w:t>1</w:t>
            </w:r>
          </w:p>
        </w:tc>
        <w:tc>
          <w:tcPr>
            <w:tcW w:type="dxa" w:w="1742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حصة</w:t>
            </w:r>
            <w:r>
              <w:rPr/>
              <w:t>2</w:t>
            </w:r>
          </w:p>
        </w:tc>
        <w:tc>
          <w:tcPr>
            <w:tcW w:type="dxa" w:w="1737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 xml:space="preserve">حصة </w:t>
            </w:r>
            <w:r>
              <w:rPr/>
              <w:t>3</w:t>
            </w:r>
          </w:p>
        </w:tc>
      </w:tr>
      <w:tr>
        <w:trPr>
          <w:cantSplit w:val="false"/>
        </w:trPr>
        <w:tc>
          <w:tcPr>
            <w:tcW w:type="dxa" w:w="240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65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اليوم</w:t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اليوم</w:t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ساعة</w:t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59"/>
      </w:tblGrid>
      <w:tr>
        <w:trPr>
          <w:cantSplit w:val="false"/>
        </w:trPr>
        <w:tc>
          <w:tcPr>
            <w:tcW w:type="dxa" w:w="905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وصف المحاضرات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الهدف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في نهاية هذه المادة، يكون الطالب قد اكتسب البيانات الأساسية المتعلقة بالأغشية الحيوية، على المستوى الهيكلي والوظيفي</w:t>
            </w:r>
            <w:r>
              <w:rPr>
                <w:rtl w:val="true"/>
              </w:rPr>
              <w:t xml:space="preserve">. </w:t>
            </w:r>
            <w:r>
              <w:rPr>
                <w:rtl w:val="true"/>
              </w:rPr>
              <w:t>الهدف هو تشجيع الطلاب على تطوير تطبيقات الأغشية الحيوية في المستقبل، وخاصة في مجال التكنولوجيا الحيوية</w:t>
            </w:r>
            <w:r>
              <w:rPr/>
              <w:t>.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نوع وحدة التدريس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UEF 2 : </w:t>
            </w:r>
            <w:r>
              <w:rPr>
                <w:rtl w:val="true"/>
              </w:rPr>
              <w:t>الأغشية الحيوية</w:t>
            </w:r>
            <w:r>
              <w:rPr/>
              <w:t>: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محتوىموجز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1. </w:t>
            </w:r>
            <w:r>
              <w:rPr>
                <w:rtl w:val="true"/>
              </w:rPr>
              <w:t>مقدمة</w:t>
            </w:r>
            <w:r>
              <w:rPr>
                <w:rtl w:val="true"/>
              </w:rPr>
              <w:t>/</w:t>
            </w:r>
            <w:r>
              <w:rPr>
                <w:rtl w:val="true"/>
              </w:rPr>
              <w:t>تذكيرات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2. </w:t>
            </w:r>
            <w:r>
              <w:rPr>
                <w:rtl w:val="true"/>
              </w:rPr>
              <w:t>الأغشية الحيوية</w:t>
            </w:r>
            <w:r>
              <w:rPr>
                <w:rtl w:val="true"/>
              </w:rPr>
              <w:t xml:space="preserve">: </w:t>
            </w:r>
            <w:r>
              <w:rPr>
                <w:rtl w:val="true"/>
              </w:rPr>
              <w:t>الهيكل والتنظيم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3. </w:t>
            </w:r>
            <w:r>
              <w:rPr>
                <w:rtl w:val="true"/>
              </w:rPr>
              <w:t>بروتينات الغشاء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4. </w:t>
            </w:r>
            <w:r>
              <w:rPr>
                <w:rtl w:val="true"/>
              </w:rPr>
              <w:t>انتشار المواد ونقل الأغشية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5. </w:t>
            </w:r>
            <w:r>
              <w:rPr>
                <w:rtl w:val="true"/>
              </w:rPr>
              <w:t>الوظائف الرئيسية للأغشية الحيوية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6. </w:t>
            </w:r>
            <w:r>
              <w:rPr>
                <w:rtl w:val="true"/>
              </w:rPr>
              <w:t>تطبيق الأغشية الحيوية</w:t>
            </w:r>
            <w:r>
              <w:rPr/>
              <w:t>: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أ</w:t>
            </w:r>
            <w:r>
              <w:rPr>
                <w:rtl w:val="true"/>
              </w:rPr>
              <w:t xml:space="preserve">. </w:t>
            </w:r>
            <w:r>
              <w:rPr>
                <w:rtl w:val="true"/>
              </w:rPr>
              <w:t>صحة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ب</w:t>
            </w:r>
            <w:r>
              <w:rPr>
                <w:rtl w:val="true"/>
              </w:rPr>
              <w:t xml:space="preserve">. </w:t>
            </w:r>
            <w:r>
              <w:rPr>
                <w:rtl w:val="true"/>
              </w:rPr>
              <w:t>الصناعات والتقنيات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د</w:t>
            </w:r>
            <w:r>
              <w:rPr>
                <w:rtl w:val="true"/>
              </w:rPr>
              <w:t xml:space="preserve">. </w:t>
            </w:r>
            <w:r>
              <w:rPr>
                <w:rtl w:val="true"/>
              </w:rPr>
              <w:t>وجهات النظر والتقنيات الجديدة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رصيد المادة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4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معامل المادة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2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تنقيط المشاركة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5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تنقيط الحضور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5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حساب المعدل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5  ( (</w:t>
            </w:r>
            <w:r>
              <w:rPr>
                <w:rtl w:val="true"/>
              </w:rPr>
              <w:t xml:space="preserve">مشاركة وحضور </w:t>
            </w:r>
            <w:r>
              <w:rPr>
                <w:rtl w:val="true"/>
              </w:rPr>
              <w:t xml:space="preserve">+ </w:t>
            </w:r>
            <w:r>
              <w:rPr/>
              <w:t>100</w:t>
            </w:r>
            <w:r>
              <w:rPr>
                <w:rtl w:val="true"/>
              </w:rPr>
              <w:t xml:space="preserve">  (</w:t>
            </w:r>
            <w:r>
              <w:rPr>
                <w:rtl w:val="true"/>
              </w:rPr>
              <w:t>امتحان</w:t>
            </w:r>
            <w:r>
              <w:rPr/>
              <w:t>) %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المهاراتالمستهدفة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اكتساب المعرفة المتعلقة ببيولوجيا الخلية والحصول على البيانات الأساسية المتعلقة بالأغشية الحيوية على المستوى الهيكلي والوظيفي والتطبيقات المختلفة للأغشية الحيوية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60"/>
      </w:tblGrid>
      <w:tr>
        <w:trPr>
          <w:cantSplit w:val="false"/>
        </w:trPr>
        <w:tc>
          <w:tcPr>
            <w:tcW w:type="dxa" w:w="9060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تقييماختبارالمعرفةالمستمر</w:t>
            </w:r>
          </w:p>
        </w:tc>
      </w:tr>
      <w:tr>
        <w:trPr>
          <w:cantSplit w:val="false"/>
        </w:trPr>
        <w:tc>
          <w:tcPr>
            <w:tcW w:type="dxa" w:w="9060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اختبارالمعرفةالأول</w:t>
            </w:r>
          </w:p>
        </w:tc>
      </w:tr>
      <w:tr>
        <w:trPr>
          <w:cantSplit w:val="false"/>
        </w:trPr>
        <w:tc>
          <w:tcPr>
            <w:tcW w:type="dxa" w:w="9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يوم</w:t>
            </w:r>
          </w:p>
        </w:tc>
        <w:tc>
          <w:tcPr>
            <w:tcW w:type="dxa" w:w="9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حصة</w:t>
            </w:r>
          </w:p>
        </w:tc>
        <w:tc>
          <w:tcPr>
            <w:tcW w:type="dxa" w:w="84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المدة</w:t>
            </w:r>
          </w:p>
        </w:tc>
        <w:tc>
          <w:tcPr>
            <w:tcW w:type="dxa" w:w="11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 xml:space="preserve">نوع  </w:t>
            </w:r>
            <w:r>
              <w:rPr>
                <w:rtl w:val="true"/>
              </w:rPr>
              <w:t>(</w:t>
            </w:r>
            <w:r>
              <w:rPr/>
              <w:t>1</w:t>
            </w:r>
            <w:r>
              <w:rPr/>
              <w:t>)</w:t>
            </w:r>
          </w:p>
        </w:tc>
        <w:tc>
          <w:tcPr>
            <w:tcW w:type="dxa" w:w="9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وثائق مسموحة لا</w:t>
            </w:r>
            <w:r>
              <w:rPr>
                <w:rtl w:val="true"/>
              </w:rPr>
              <w:t>/</w:t>
            </w:r>
            <w:r>
              <w:rPr>
                <w:rtl w:val="true"/>
              </w:rPr>
              <w:t>نعم</w:t>
            </w:r>
            <w:r>
              <w:rPr/>
              <w:t>))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التنقيط</w:t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التبادلبعدالتقييم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  <w:t>(</w:t>
            </w:r>
            <w:r>
              <w:rPr>
                <w:rtl w:val="true"/>
              </w:rPr>
              <w:t>تاريخمراجعة الأوراق</w:t>
            </w:r>
            <w:r>
              <w:rPr/>
              <w:t>))</w:t>
            </w:r>
          </w:p>
        </w:tc>
        <w:tc>
          <w:tcPr>
            <w:tcW w:type="dxa" w:w="11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معيارالتقييم</w:t>
            </w:r>
            <w:r>
              <w:rPr>
                <w:rtl w:val="true"/>
              </w:rPr>
              <w:t>(</w:t>
            </w:r>
            <w:r>
              <w:rPr/>
              <w:t>2</w:t>
            </w:r>
            <w:r>
              <w:rPr/>
              <w:t>)</w:t>
            </w:r>
          </w:p>
        </w:tc>
      </w:tr>
      <w:tr>
        <w:trPr>
          <w:cantSplit w:val="false"/>
        </w:trPr>
        <w:tc>
          <w:tcPr>
            <w:tcW w:type="dxa" w:w="9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9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84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1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9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1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060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اختبارالمعرفة الثاني</w:t>
            </w:r>
          </w:p>
        </w:tc>
      </w:tr>
      <w:tr>
        <w:trPr>
          <w:cantSplit w:val="false"/>
        </w:trPr>
        <w:tc>
          <w:tcPr>
            <w:tcW w:type="dxa" w:w="9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يوم</w:t>
            </w:r>
          </w:p>
        </w:tc>
        <w:tc>
          <w:tcPr>
            <w:tcW w:type="dxa" w:w="9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حصة</w:t>
            </w:r>
          </w:p>
        </w:tc>
        <w:tc>
          <w:tcPr>
            <w:tcW w:type="dxa" w:w="84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المدة</w:t>
            </w:r>
          </w:p>
        </w:tc>
        <w:tc>
          <w:tcPr>
            <w:tcW w:type="dxa" w:w="11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 xml:space="preserve">نوع  </w:t>
            </w:r>
            <w:r>
              <w:rPr>
                <w:rtl w:val="true"/>
              </w:rPr>
              <w:t>(</w:t>
            </w:r>
            <w:r>
              <w:rPr/>
              <w:t>1</w:t>
            </w:r>
            <w:r>
              <w:rPr/>
              <w:t>)</w:t>
            </w:r>
          </w:p>
        </w:tc>
        <w:tc>
          <w:tcPr>
            <w:tcW w:type="dxa" w:w="9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وثائق مسموحة لا</w:t>
            </w:r>
            <w:r>
              <w:rPr>
                <w:rtl w:val="true"/>
              </w:rPr>
              <w:t>/</w:t>
            </w:r>
            <w:r>
              <w:rPr>
                <w:rtl w:val="true"/>
              </w:rPr>
              <w:t>نعم</w:t>
            </w:r>
            <w:r>
              <w:rPr/>
              <w:t>))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التنقيط</w:t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التبادلبعدالتقييم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  <w:t>(</w:t>
            </w:r>
            <w:r>
              <w:rPr>
                <w:rtl w:val="true"/>
              </w:rPr>
              <w:t>تاريخمراجعة الأوراق</w:t>
            </w:r>
            <w:r>
              <w:rPr/>
              <w:t>))</w:t>
            </w:r>
          </w:p>
        </w:tc>
        <w:tc>
          <w:tcPr>
            <w:tcW w:type="dxa" w:w="11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معيارالتقييم</w:t>
            </w:r>
            <w:r>
              <w:rPr>
                <w:rtl w:val="true"/>
              </w:rPr>
              <w:t>(</w:t>
            </w:r>
            <w:r>
              <w:rPr/>
              <w:t>2</w:t>
            </w:r>
            <w:r>
              <w:rPr/>
              <w:t>)</w:t>
            </w:r>
          </w:p>
        </w:tc>
      </w:tr>
      <w:tr>
        <w:trPr>
          <w:cantSplit w:val="false"/>
        </w:trPr>
        <w:tc>
          <w:tcPr>
            <w:tcW w:type="dxa" w:w="9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9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84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1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9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1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</w:tr>
    </w:tbl>
    <w:p>
      <w:pPr>
        <w:pStyle w:val="style27"/>
        <w:numPr>
          <w:ilvl w:val="0"/>
          <w:numId w:val="4"/>
        </w:numPr>
        <w:bidi/>
        <w:ind w:hanging="284" w:left="565" w:right="0"/>
        <w:jc w:val="right"/>
      </w:pPr>
      <w:r>
        <w:rPr>
          <w:rtl w:val="true"/>
        </w:rPr>
        <w:t>النوع</w:t>
      </w:r>
      <w:r>
        <w:rPr>
          <w:rtl w:val="true"/>
        </w:rPr>
        <w:t>:</w:t>
      </w:r>
      <w:r>
        <w:rPr>
          <w:b/>
          <w:b/>
          <w:bCs/>
          <w:rtl w:val="true"/>
        </w:rPr>
        <w:t>م</w:t>
      </w:r>
      <w:r>
        <w:rPr>
          <w:rtl w:val="true"/>
        </w:rPr>
        <w:t xml:space="preserve"> </w:t>
      </w:r>
      <w:r>
        <w:rPr>
          <w:rtl w:val="true"/>
        </w:rPr>
        <w:t xml:space="preserve">= </w:t>
      </w:r>
      <w:r>
        <w:rPr>
          <w:rtl w:val="true"/>
        </w:rPr>
        <w:t>مكتوب،</w:t>
      </w:r>
      <w:r>
        <w:rPr>
          <w:b/>
          <w:b/>
          <w:bCs/>
          <w:rtl w:val="true"/>
        </w:rPr>
        <w:t>ع ف</w:t>
      </w:r>
      <w:r>
        <w:rPr>
          <w:rtl w:val="true"/>
        </w:rPr>
        <w:t xml:space="preserve"> </w:t>
      </w:r>
      <w:r>
        <w:rPr>
          <w:rtl w:val="true"/>
        </w:rPr>
        <w:t xml:space="preserve">= </w:t>
      </w:r>
      <w:r>
        <w:rPr>
          <w:rtl w:val="true"/>
        </w:rPr>
        <w:t>عرضتقديميفردي،</w:t>
      </w:r>
      <w:r>
        <w:rPr>
          <w:b/>
          <w:b/>
          <w:bCs/>
          <w:rtl w:val="true"/>
        </w:rPr>
        <w:t>ع ق</w:t>
      </w:r>
      <w:r>
        <w:rPr>
          <w:rtl w:val="true"/>
        </w:rPr>
        <w:t xml:space="preserve">عرضتقديمي في القسم،ت </w:t>
      </w:r>
      <w:r>
        <w:rPr>
          <w:rtl w:val="true"/>
        </w:rPr>
        <w:t>= ,</w:t>
      </w:r>
      <w:r>
        <w:rPr>
          <w:rtl w:val="true"/>
        </w:rPr>
        <w:t>تجربة،أسئلة متعددة الاختيارات</w:t>
      </w:r>
    </w:p>
    <w:p>
      <w:pPr>
        <w:pStyle w:val="style0"/>
        <w:bidi/>
        <w:jc w:val="right"/>
      </w:pPr>
      <w:r>
        <w:rPr>
          <w:rtl w:val="true"/>
        </w:rPr>
        <w:t>(</w:t>
      </w:r>
      <w:r>
        <w:rPr/>
        <w:t>2</w:t>
      </w:r>
      <w:r>
        <w:rPr>
          <w:rtl w:val="true"/>
        </w:rPr>
        <w:t>)</w:t>
      </w:r>
      <w:r>
        <w:rPr>
          <w:rtl w:val="true"/>
        </w:rPr>
        <w:t>معاييرالتقييم</w:t>
      </w:r>
      <w:r>
        <w:rPr>
          <w:rtl w:val="true"/>
        </w:rPr>
        <w:t xml:space="preserve">: </w:t>
      </w:r>
      <w:r>
        <w:rPr>
          <w:b/>
          <w:b/>
          <w:bCs/>
          <w:rtl w:val="true"/>
        </w:rPr>
        <w:t>ت ح</w:t>
      </w:r>
      <w:r>
        <w:rPr>
          <w:rtl w:val="true"/>
        </w:rPr>
        <w:t xml:space="preserve">= </w:t>
      </w:r>
      <w:r>
        <w:rPr>
          <w:rtl w:val="true"/>
        </w:rPr>
        <w:t>التحليل،</w:t>
      </w:r>
      <w:r>
        <w:rPr>
          <w:b/>
          <w:b/>
          <w:bCs/>
          <w:rtl w:val="true"/>
        </w:rPr>
        <w:t>ت و</w:t>
      </w:r>
      <w:r>
        <w:rPr>
          <w:rtl w:val="true"/>
        </w:rPr>
        <w:t xml:space="preserve">= </w:t>
      </w:r>
      <w:r>
        <w:rPr>
          <w:rtl w:val="true"/>
        </w:rPr>
        <w:t>التوليف،</w:t>
      </w:r>
      <w:r>
        <w:rPr>
          <w:b/>
          <w:b/>
          <w:bCs/>
          <w:rtl w:val="true"/>
        </w:rPr>
        <w:t>ح ج</w:t>
      </w:r>
      <w:r>
        <w:rPr>
          <w:rtl w:val="true"/>
        </w:rPr>
        <w:t xml:space="preserve">= </w:t>
      </w:r>
      <w:r>
        <w:rPr>
          <w:rtl w:val="true"/>
        </w:rPr>
        <w:t>الحجج،</w:t>
      </w:r>
      <w:r>
        <w:rPr>
          <w:b/>
          <w:b/>
          <w:bCs/>
          <w:rtl w:val="true"/>
        </w:rPr>
        <w:t xml:space="preserve">ن </w:t>
      </w:r>
      <w:r>
        <w:rPr>
          <w:rtl w:val="true"/>
        </w:rPr>
        <w:t>ه</w:t>
      </w:r>
      <w:r>
        <w:rPr>
          <w:rtl w:val="true"/>
        </w:rPr>
        <w:t xml:space="preserve">= </w:t>
      </w:r>
      <w:r>
        <w:rPr>
          <w:rtl w:val="true"/>
        </w:rPr>
        <w:t>النهج،</w:t>
      </w:r>
      <w:r>
        <w:rPr>
          <w:b/>
          <w:b/>
          <w:bCs/>
          <w:rtl w:val="true"/>
        </w:rPr>
        <w:t>ن ت</w:t>
      </w:r>
      <w:r>
        <w:rPr>
          <w:rtl w:val="true"/>
        </w:rPr>
        <w:t>=</w:t>
      </w:r>
      <w:r>
        <w:rPr>
          <w:rtl w:val="true"/>
        </w:rPr>
        <w:t>النتائج</w:t>
      </w:r>
    </w:p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59"/>
      </w:tblGrid>
      <w:tr>
        <w:trPr>
          <w:cantSplit w:val="false"/>
        </w:trPr>
        <w:tc>
          <w:tcPr>
            <w:tcW w:type="dxa" w:w="905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الأجهزةوالموادالمستخدمة</w:t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عنوان المنصة</w:t>
            </w:r>
            <w:r>
              <w:rPr/>
              <w:t xml:space="preserve"> 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جامعة فرحات</w:t>
            </w:r>
            <w:r>
              <w:rPr>
                <w:rtl w:val="true"/>
              </w:rPr>
              <w:t xml:space="preserve">, </w:t>
            </w:r>
            <w:r>
              <w:rPr>
                <w:rtl w:val="true"/>
              </w:rPr>
              <w:t xml:space="preserve">سطيف </w:t>
            </w:r>
            <w:r>
              <w:rPr/>
              <w:t>١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مودل</w:t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 xml:space="preserve">أسماءالتطبيقات </w:t>
            </w:r>
            <w:r>
              <w:rPr>
                <w:rtl w:val="true"/>
              </w:rPr>
              <w:t>(</w:t>
            </w:r>
            <w:r>
              <w:rPr>
                <w:rtl w:val="true"/>
              </w:rPr>
              <w:t>الويب،الشبكةالمحلية</w:t>
            </w:r>
            <w:r>
              <w:rPr/>
              <w:t>)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موقع</w:t>
            </w:r>
            <w:r>
              <w:rPr/>
              <w:t xml:space="preserve"> </w:t>
            </w:r>
            <w:r>
              <w:rPr/>
              <w:t>FSNV (</w:t>
            </w:r>
            <w:r>
              <w:rPr>
                <w:rtl w:val="true"/>
              </w:rPr>
              <w:t xml:space="preserve">قسم </w:t>
            </w:r>
            <w:r>
              <w:rPr>
                <w:rtl w:val="true"/>
              </w:rPr>
              <w:t>"</w:t>
            </w:r>
            <w:r>
              <w:rPr>
                <w:rtl w:val="true"/>
              </w:rPr>
              <w:t>علم أصول التدريس</w:t>
            </w:r>
            <w:r>
              <w:rPr/>
              <w:t>")</w:t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مطوعات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FSNV  </w:t>
            </w:r>
            <w:r>
              <w:rPr>
                <w:rtl w:val="true"/>
              </w:rPr>
              <w:t>دعم بمطبوعة الدروس على موقع</w:t>
            </w:r>
            <w:r>
              <w:rPr/>
              <w:t xml:space="preserve">   </w:t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وسائل المختبر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وسائل الحماية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وسائل الخرجات الميدانية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59"/>
      </w:tblGrid>
      <w:tr>
        <w:trPr>
          <w:cantSplit w:val="false"/>
        </w:trPr>
        <w:tc>
          <w:tcPr>
            <w:tcW w:type="dxa" w:w="905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افافق</w:t>
            </w:r>
            <w:r>
              <w:rPr>
                <w:b/>
                <w:b/>
                <w:bCs/>
              </w:rPr>
              <w:t xml:space="preserve"> </w:t>
            </w:r>
          </w:p>
        </w:tc>
      </w:tr>
      <w:tr>
        <w:trPr>
          <w:cantSplit w:val="false"/>
        </w:trPr>
        <w:tc>
          <w:tcPr>
            <w:tcW w:type="dxa" w:w="26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أفاق الطلاب  المشاركة</w:t>
            </w:r>
            <w:r>
              <w:rPr>
                <w:rtl w:val="true"/>
              </w:rPr>
              <w:t>-</w:t>
            </w:r>
            <w:r>
              <w:rPr>
                <w:rtl w:val="true"/>
              </w:rPr>
              <w:t>إشراك</w:t>
            </w:r>
          </w:p>
        </w:tc>
        <w:tc>
          <w:tcPr>
            <w:tcW w:type="dxa" w:w="63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معرفة التركيب الجزيئي للأغشية الحيوية ووظائفها المختلفة وتطبيقاتها، وخاصة في مجال التكنولوجيا الحيوية</w:t>
            </w:r>
          </w:p>
        </w:tc>
      </w:tr>
      <w:tr>
        <w:trPr>
          <w:cantSplit w:val="false"/>
        </w:trPr>
        <w:tc>
          <w:tcPr>
            <w:tcW w:type="dxa" w:w="26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أفاق المدرس</w:t>
            </w:r>
            <w:r>
              <w:rPr/>
              <w:t xml:space="preserve"> </w:t>
            </w:r>
          </w:p>
        </w:tc>
        <w:tc>
          <w:tcPr>
            <w:tcW w:type="dxa" w:w="63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المعرفة المتعلقة بالتنظيم الجزيئي والوظائف المختلفة للأغشية الحيوية وتطبيقاتها، وخاصة في مجال التكنولوجيا الحيوية</w:t>
            </w:r>
          </w:p>
        </w:tc>
      </w:tr>
    </w:tbl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285"/>
      </w:tblGrid>
      <w:tr>
        <w:trPr>
          <w:cantSplit w:val="false"/>
        </w:trPr>
        <w:tc>
          <w:tcPr>
            <w:tcW w:type="dxa" w:w="9285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قائمة المراجع</w:t>
            </w:r>
            <w:r>
              <w:rPr>
                <w:b/>
                <w:b/>
                <w:bCs/>
              </w:rPr>
              <w:t xml:space="preserve"> </w:t>
            </w:r>
          </w:p>
        </w:tc>
      </w:tr>
      <w:tr>
        <w:trPr>
          <w:cantSplit w:val="false"/>
        </w:trPr>
        <w:tc>
          <w:tcPr>
            <w:tcW w:type="dxa" w:w="19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الكتبوالمصادرالرقمية</w:t>
            </w:r>
          </w:p>
        </w:tc>
        <w:tc>
          <w:tcPr>
            <w:tcW w:type="dxa" w:w="73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eastAsia="Yu Gothic" w:hAnsi="Times New Roman"/>
                <w:color w:val="000000"/>
                <w:sz w:val="20"/>
                <w:szCs w:val="20"/>
                <w:lang w:eastAsia="fr-FR"/>
              </w:rPr>
              <w:t xml:space="preserve">- Jean-Louis Delaunay. Rôle des microdomaines membranaires dans le ciblage apical de la pyrophosphatase NPP3 dans les cellules MDCK. Biologie cellulaire. Université Pierre et - Paris VI, 2007.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  <w:lang w:eastAsia="fr-FR"/>
              </w:rPr>
              <w:t>UMR-S-538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  <w:lang w:eastAsia="fr-FR" w:val="en-GB"/>
              </w:rPr>
              <w:t xml:space="preserve">- Pranali P Deshpande, Swati Biswas and Vladimir P Torchilin. Current trends in the use of liposomes for tumor targeting. </w:t>
            </w:r>
            <w:r>
              <w:rPr>
                <w:rFonts w:ascii="NimbusRomNo9L" w:cs="NimbusRomNo9L" w:hAnsi="NimbusRomNo9L"/>
                <w:color w:val="000000"/>
                <w:lang w:eastAsia="fr-FR"/>
              </w:rPr>
              <w:t>Nanomedicine (</w:t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  <w:lang w:eastAsia="fr-FR"/>
              </w:rPr>
              <w:t>Lond). 2013; 8(9): . doi:10.2217/nnm.13.118.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  <w:lang w:eastAsia="fr-FR"/>
              </w:rPr>
              <w:t>- Alain Meybeck</w:t>
            </w:r>
            <w:r>
              <w:rPr>
                <w:rFonts w:ascii="Times New Roman" w:cs="Times New Roman" w:hAnsi="Times New Roman"/>
                <w:sz w:val="20"/>
                <w:szCs w:val="20"/>
                <w:lang w:eastAsia="fr-FR"/>
              </w:rPr>
              <w:t xml:space="preserve">. Les liposomes en cosmétique. </w:t>
            </w:r>
            <w:r>
              <w:rPr>
                <w:rFonts w:ascii="Franklin Gothic Book" w:cs="Franklin Gothic Book" w:hAnsi="Franklin Gothic Book"/>
                <w:color w:val="000000"/>
                <w:sz w:val="16"/>
                <w:szCs w:val="16"/>
                <w:lang w:eastAsia="fr-FR"/>
              </w:rPr>
              <w:t>l’actualité chimique - octobre-novembre 2008 - n° 323-324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0"/>
                <w:szCs w:val="20"/>
                <w:lang w:eastAsia="fr-FR"/>
              </w:rPr>
              <w:t xml:space="preserve">- </w:t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  <w:lang w:eastAsia="fr-FR"/>
              </w:rPr>
              <w:t xml:space="preserve">L’ utilisation des liposomes comme vecteurs Médicamenteux. </w:t>
            </w:r>
            <w:r>
              <w:rPr>
                <w:rFonts w:ascii="Times New Roman" w:cs="Times New Roman" w:eastAsia="Yu Gothic" w:hAnsi="Times New Roman"/>
                <w:color w:val="000000"/>
                <w:sz w:val="20"/>
                <w:szCs w:val="20"/>
                <w:lang w:eastAsia="fr-FR" w:val="en-GB"/>
              </w:rPr>
              <w:t>Gemechis Haile Bobo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eastAsia="Yu Gothic" w:hAnsi="Times New Roman"/>
                <w:sz w:val="20"/>
                <w:szCs w:val="20"/>
                <w:lang w:eastAsia="fr-FR" w:val="en-GB"/>
              </w:rPr>
              <w:t>- Cell Biology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eastAsia="Times New Roman" w:hAnsi="Times New Roman"/>
                <w:sz w:val="20"/>
                <w:szCs w:val="20"/>
                <w:lang w:eastAsia="fr-FR" w:val="en-GB"/>
              </w:rPr>
              <w:t>-  Molecular Cell Biology (2013) 7th ed., Lodish, H., Berk, A., Kaiser, C.A., Krieger, M., Bretscher, A., Ploegh, H., Amon, A. and Scott, M.P.. W.H. Freeman &amp; Company (New York), 1SBN:13:978-1-4641-0981-2. </w:t>
            </w:r>
          </w:p>
        </w:tc>
      </w:tr>
      <w:tr>
        <w:trPr>
          <w:cantSplit w:val="false"/>
        </w:trPr>
        <w:tc>
          <w:tcPr>
            <w:tcW w:type="dxa" w:w="19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المناشير</w:t>
            </w:r>
          </w:p>
        </w:tc>
        <w:tc>
          <w:tcPr>
            <w:tcW w:type="dxa" w:w="73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0"/>
                <w:szCs w:val="20"/>
                <w:lang w:val="en-GB"/>
              </w:rPr>
              <w:t xml:space="preserve">- Helen Watson.  Biological membranes Essays Biochem. 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(2015) 59, 43–70: doi: 10.1042/BSE0590043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  <w:lang w:eastAsia="fr-FR"/>
              </w:rPr>
              <w:t xml:space="preserve">- Aurélien Lorin, Christelle Flore, Annick Thomas, Robert Brasseur. Les liposomes : description, fabrication et applications, </w:t>
            </w:r>
            <w:r>
              <w:rPr>
                <w:rFonts w:ascii="Times New Roman" w:cs="Times New Roman" w:hAnsi="Times New Roman"/>
                <w:i/>
                <w:iCs/>
                <w:color w:val="000000"/>
                <w:sz w:val="20"/>
                <w:szCs w:val="20"/>
                <w:lang w:eastAsia="fr-FR"/>
              </w:rPr>
              <w:t xml:space="preserve">Biotechnol. Agron. Soc. Environ. </w:t>
            </w:r>
            <w:r>
              <w:rPr>
                <w:rFonts w:ascii="Times New Roman" w:cs="Times New Roman" w:hAnsi="Times New Roman"/>
                <w:color w:val="000000"/>
                <w:sz w:val="20"/>
                <w:szCs w:val="20"/>
                <w:lang w:eastAsia="fr-FR"/>
              </w:rPr>
              <w:t>2004 8 (3), 163–176.</w:t>
            </w:r>
          </w:p>
        </w:tc>
      </w:tr>
      <w:tr>
        <w:trPr>
          <w:cantSplit w:val="false"/>
        </w:trPr>
        <w:tc>
          <w:tcPr>
            <w:tcW w:type="dxa" w:w="19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المطبوعت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73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19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مواقع الواب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73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hyperlink r:id="rId2">
              <w:r>
                <w:rPr>
                  <w:rStyle w:val="style20"/>
                </w:rPr>
                <w:t>https://en.wikipedia.org/wiki/Biological_membrane</w:t>
              </w:r>
            </w:hyperlink>
          </w:p>
          <w:p>
            <w:pPr>
              <w:pStyle w:val="style0"/>
              <w:spacing w:after="0" w:before="0" w:line="100" w:lineRule="atLeast"/>
              <w:contextualSpacing w:val="false"/>
            </w:pPr>
            <w:hyperlink r:id="rId3">
              <w:r>
                <w:rPr>
                  <w:rStyle w:val="style20"/>
                </w:rPr>
                <w:t>https://www.ncbi.nlm.nih.gov/pmc/articles/PMC4626904/pdf/bse0590043.pdf</w:t>
              </w:r>
            </w:hyperlink>
          </w:p>
          <w:p>
            <w:pPr>
              <w:pStyle w:val="style0"/>
              <w:spacing w:after="0" w:before="0" w:line="100" w:lineRule="atLeast"/>
              <w:contextualSpacing w:val="false"/>
            </w:pPr>
            <w:hyperlink r:id="rId4">
              <w:r>
                <w:rPr>
                  <w:rStyle w:val="style20"/>
                </w:rPr>
                <w:t>https://www.pmf.unizg.hr/_download/repository/5_Biomembranes.pdf</w:t>
              </w:r>
            </w:hyperlink>
          </w:p>
          <w:p>
            <w:pPr>
              <w:pStyle w:val="style0"/>
              <w:spacing w:after="0" w:before="0" w:line="100" w:lineRule="atLeast"/>
              <w:contextualSpacing w:val="false"/>
            </w:pPr>
            <w:hyperlink r:id="rId5">
              <w:r>
                <w:rPr>
                  <w:rStyle w:val="style20"/>
                </w:rPr>
                <w:t>https://en.wikipedia.org/wiki/Cell_membrane</w:t>
              </w:r>
            </w:hyperlink>
          </w:p>
        </w:tc>
      </w:tr>
    </w:tbl>
    <w:p>
      <w:pPr>
        <w:pStyle w:val="style0"/>
      </w:pPr>
      <w:r>
        <w:rPr/>
      </w:r>
    </w:p>
    <w:p>
      <w:pPr>
        <w:pStyle w:val="style0"/>
        <w:widowControl/>
        <w:spacing w:after="160" w:before="0" w:line="256" w:lineRule="auto"/>
        <w:contextualSpacing w:val="false"/>
      </w:pPr>
      <w:r>
        <w:rPr/>
      </w:r>
    </w:p>
    <w:p>
      <w:pPr>
        <w:pStyle w:val="style29"/>
        <w:jc w:val="center"/>
      </w:pPr>
      <w:r>
        <w:rPr>
          <w:b/>
          <w:b/>
          <w:bCs/>
          <w:sz w:val="32"/>
          <w:sz w:val="32"/>
          <w:szCs w:val="32"/>
          <w:u w:val="single"/>
          <w:rtl w:val="true"/>
        </w:rPr>
        <w:t>ختم القسم</w:t>
      </w:r>
    </w:p>
    <w:p>
      <w:pPr>
        <w:pStyle w:val="style29"/>
        <w:spacing w:after="120" w:before="0"/>
        <w:contextualSpacing w:val="false"/>
        <w:jc w:val="center"/>
      </w:pPr>
      <w:r>
        <w:rPr/>
      </w:r>
    </w:p>
    <w:sectPr>
      <w:type w:val="nextPage"/>
      <w:pgSz w:h="16838" w:w="11906"/>
      <w:pgMar w:bottom="851" w:footer="0" w:gutter="0" w:header="0" w:left="1418" w:right="1418" w:top="851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NimbusRomNo9L">
    <w:charset w:val="00"/>
    <w:family w:val="roman"/>
    <w:pitch w:val="variable"/>
  </w:font>
  <w:font w:name="Franklin Gothic Book">
    <w:charset w:val="0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"/>
      <w:lvlJc w:val="left"/>
      <w:pPr>
        <w:ind w:hanging="432" w:left="432"/>
      </w:pPr>
    </w:lvl>
    <w:lvl w:ilvl="1">
      <w:start w:val="1"/>
      <w:numFmt w:val="decimal"/>
      <w:lvlText w:val="%1.%2"/>
      <w:lvlJc w:val="left"/>
      <w:pPr>
        <w:ind w:hanging="576" w:left="576"/>
      </w:pPr>
    </w:lvl>
    <w:lvl w:ilvl="2">
      <w:start w:val="1"/>
      <w:numFmt w:val="decimal"/>
      <w:lvlText w:val="%1.%2.%3"/>
      <w:lvlJc w:val="left"/>
      <w:pPr>
        <w:ind w:hanging="720" w:left="720"/>
      </w:pPr>
    </w:lvl>
    <w:lvl w:ilvl="3">
      <w:start w:val="1"/>
      <w:numFmt w:val="decimal"/>
      <w:lvlText w:val="%1.%2.%3.%4"/>
      <w:lvlJc w:val="left"/>
      <w:pPr>
        <w:ind w:hanging="864" w:left="864"/>
      </w:pPr>
    </w:lvl>
    <w:lvl w:ilvl="4">
      <w:start w:val="1"/>
      <w:numFmt w:val="decimal"/>
      <w:lvlText w:val="%1.%2.%3.%4.%5"/>
      <w:lvlJc w:val="left"/>
      <w:pPr>
        <w:ind w:hanging="1008" w:left="1008"/>
      </w:pPr>
    </w:lvl>
    <w:lvl w:ilvl="5">
      <w:start w:val="1"/>
      <w:numFmt w:val="decimal"/>
      <w:lvlText w:val="%1.%2.%3.%4.%5.%6"/>
      <w:lvlJc w:val="left"/>
      <w:pPr>
        <w:ind w:hanging="1152" w:left="1152"/>
      </w:pPr>
    </w:lvl>
    <w:lvl w:ilvl="6">
      <w:start w:val="1"/>
      <w:numFmt w:val="decimal"/>
      <w:lvlText w:val="%1.%2.%3.%4.%5.%6.%7"/>
      <w:lvlJc w:val="left"/>
      <w:pPr>
        <w:ind w:hanging="1296" w:left="1296"/>
      </w:pPr>
    </w:lvl>
    <w:lvl w:ilvl="7">
      <w:start w:val="1"/>
      <w:numFmt w:val="decimal"/>
      <w:lvlText w:val="%1.%2.%3.%4.%5.%6.%7.%8"/>
      <w:lvlJc w:val="left"/>
      <w:pPr>
        <w:ind w:hanging="1440" w:left="1440"/>
      </w:pPr>
    </w:lvl>
    <w:lvl w:ilvl="8">
      <w:start w:val="1"/>
      <w:numFmt w:val="decimal"/>
      <w:lvlText w:val="%1.%2.%3.%4.%5.%6.%7.%8.%9"/>
      <w:lvlJc w:val="left"/>
      <w:pPr>
        <w:ind w:hanging="1584" w:left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:abstractNumId="4">
    <w:lvl w:ilvl="0">
      <w:start w:val="1"/>
      <w:numFmt w:val="decimal"/>
      <w:lvlText w:val="(%1)"/>
      <w:lvlJc w:val="left"/>
      <w:pPr>
        <w:ind w:hanging="360" w:left="1352"/>
      </w:pPr>
    </w:lvl>
    <w:lvl w:ilvl="1">
      <w:start w:val="1"/>
      <w:numFmt w:val="lowerLetter"/>
      <w:lvlText w:val="%2."/>
      <w:lvlJc w:val="left"/>
      <w:pPr>
        <w:ind w:hanging="360" w:left="2072"/>
      </w:pPr>
    </w:lvl>
    <w:lvl w:ilvl="2">
      <w:start w:val="1"/>
      <w:numFmt w:val="lowerRoman"/>
      <w:lvlText w:val="%3."/>
      <w:lvlJc w:val="right"/>
      <w:pPr>
        <w:ind w:hanging="180" w:left="2792"/>
      </w:pPr>
    </w:lvl>
    <w:lvl w:ilvl="3">
      <w:start w:val="1"/>
      <w:numFmt w:val="decimal"/>
      <w:lvlText w:val="%4."/>
      <w:lvlJc w:val="left"/>
      <w:pPr>
        <w:ind w:hanging="360" w:left="3512"/>
      </w:pPr>
    </w:lvl>
    <w:lvl w:ilvl="4">
      <w:start w:val="1"/>
      <w:numFmt w:val="lowerLetter"/>
      <w:lvlText w:val="%5."/>
      <w:lvlJc w:val="left"/>
      <w:pPr>
        <w:ind w:hanging="360" w:left="4232"/>
      </w:pPr>
    </w:lvl>
    <w:lvl w:ilvl="5">
      <w:start w:val="1"/>
      <w:numFmt w:val="lowerRoman"/>
      <w:lvlText w:val="%6."/>
      <w:lvlJc w:val="right"/>
      <w:pPr>
        <w:ind w:hanging="180" w:left="4952"/>
      </w:pPr>
    </w:lvl>
    <w:lvl w:ilvl="6">
      <w:start w:val="1"/>
      <w:numFmt w:val="decimal"/>
      <w:lvlText w:val="%7."/>
      <w:lvlJc w:val="left"/>
      <w:pPr>
        <w:ind w:hanging="360" w:left="5672"/>
      </w:pPr>
    </w:lvl>
    <w:lvl w:ilvl="7">
      <w:start w:val="1"/>
      <w:numFmt w:val="lowerLetter"/>
      <w:lvlText w:val="%8."/>
      <w:lvlJc w:val="left"/>
      <w:pPr>
        <w:ind w:hanging="360" w:left="6392"/>
      </w:pPr>
    </w:lvl>
    <w:lvl w:ilvl="8">
      <w:start w:val="1"/>
      <w:numFmt w:val="lowerRoman"/>
      <w:lvlText w:val="%9."/>
      <w:lvlJc w:val="right"/>
      <w:pPr>
        <w:ind w:hanging="180" w:left="7112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Style par défaut"/>
    <w:next w:val="style0"/>
    <w:pPr>
      <w:widowControl/>
      <w:suppressAutoHyphens w:val="true"/>
      <w:spacing w:after="160" w:before="0" w:line="256" w:lineRule="auto"/>
      <w:contextualSpacing w:val="false"/>
    </w:pPr>
    <w:rPr>
      <w:rFonts w:ascii="Calibri" w:cs="Arial" w:eastAsia="Calibri" w:hAnsi="Calibri"/>
      <w:color w:val="auto"/>
      <w:sz w:val="22"/>
      <w:szCs w:val="22"/>
      <w:lang w:bidi="ar-SA" w:eastAsia="en-US" w:val="fr-FR"/>
    </w:rPr>
  </w:style>
  <w:style w:styleId="style1" w:type="paragraph">
    <w:name w:val="Titre 1"/>
    <w:basedOn w:val="style0"/>
    <w:next w:val="style1"/>
    <w:pPr>
      <w:keepNext/>
      <w:keepLines/>
      <w:numPr>
        <w:ilvl w:val="0"/>
        <w:numId w:val="2"/>
      </w:numPr>
      <w:spacing w:after="120" w:before="120"/>
      <w:contextualSpacing w:val="false"/>
    </w:pPr>
    <w:rPr>
      <w:rFonts w:ascii="Calibri Light" w:cs="Times New Roman" w:eastAsia="Times New Roman" w:hAnsi="Calibri Light"/>
      <w:b/>
      <w:bCs/>
      <w:color w:val="00B0F0"/>
      <w:sz w:val="32"/>
      <w:szCs w:val="32"/>
    </w:rPr>
  </w:style>
  <w:style w:styleId="style2" w:type="paragraph">
    <w:name w:val="Titre 2"/>
    <w:basedOn w:val="style0"/>
    <w:next w:val="style2"/>
    <w:pPr>
      <w:numPr>
        <w:ilvl w:val="0"/>
        <w:numId w:val="3"/>
      </w:numPr>
      <w:spacing w:after="120" w:before="160"/>
      <w:ind w:hanging="432" w:left="792" w:right="0"/>
      <w:contextualSpacing w:val="false"/>
    </w:pPr>
    <w:rPr>
      <w:rFonts w:ascii="Calibri Light" w:cs="Times New Roman" w:eastAsia="Times New Roman" w:hAnsi="Calibri Light"/>
      <w:b/>
      <w:bCs/>
      <w:i/>
      <w:iCs/>
      <w:color w:val="00B0F0"/>
      <w:sz w:val="26"/>
      <w:szCs w:val="26"/>
    </w:rPr>
  </w:style>
  <w:style w:styleId="style3" w:type="paragraph">
    <w:name w:val="Titre 3"/>
    <w:basedOn w:val="style0"/>
    <w:next w:val="style3"/>
    <w:pPr>
      <w:keepNext/>
      <w:keepLines/>
      <w:numPr>
        <w:ilvl w:val="0"/>
        <w:numId w:val="1"/>
      </w:numPr>
      <w:spacing w:after="0" w:before="40"/>
      <w:contextualSpacing w:val="false"/>
    </w:pPr>
    <w:rPr>
      <w:rFonts w:ascii="Calibri Light" w:cs="Times New Roman" w:eastAsia="Times New Roman" w:hAnsi="Calibri Light"/>
      <w:color w:val="1F4D78"/>
      <w:sz w:val="24"/>
      <w:szCs w:val="24"/>
    </w:rPr>
  </w:style>
  <w:style w:styleId="style15" w:type="character">
    <w:name w:val="Default Paragraph Font"/>
    <w:next w:val="style15"/>
    <w:rPr/>
  </w:style>
  <w:style w:styleId="style16" w:type="character">
    <w:name w:val="Titre 1 Car"/>
    <w:basedOn w:val="style15"/>
    <w:next w:val="style16"/>
    <w:rPr>
      <w:rFonts w:ascii="Calibri Light" w:cs="Times New Roman" w:eastAsia="Times New Roman" w:hAnsi="Calibri Light"/>
      <w:b/>
      <w:bCs/>
      <w:color w:val="00B0F0"/>
      <w:sz w:val="32"/>
      <w:szCs w:val="32"/>
    </w:rPr>
  </w:style>
  <w:style w:styleId="style17" w:type="character">
    <w:name w:val="Titre 2 Car"/>
    <w:basedOn w:val="style15"/>
    <w:next w:val="style17"/>
    <w:rPr>
      <w:rFonts w:ascii="Calibri Light" w:cs="Times New Roman" w:eastAsia="Times New Roman" w:hAnsi="Calibri Light"/>
      <w:b/>
      <w:bCs/>
      <w:i/>
      <w:iCs/>
      <w:color w:val="00B0F0"/>
      <w:sz w:val="26"/>
      <w:szCs w:val="26"/>
    </w:rPr>
  </w:style>
  <w:style w:styleId="style18" w:type="character">
    <w:name w:val="Titre 3 Car"/>
    <w:basedOn w:val="style15"/>
    <w:next w:val="style18"/>
    <w:rPr>
      <w:rFonts w:ascii="Calibri Light" w:cs="Times New Roman" w:eastAsia="Times New Roman" w:hAnsi="Calibri Light"/>
      <w:color w:val="1F4D78"/>
      <w:sz w:val="24"/>
      <w:szCs w:val="24"/>
    </w:rPr>
  </w:style>
  <w:style w:styleId="style19" w:type="character">
    <w:name w:val="Placeholder Text"/>
    <w:basedOn w:val="style15"/>
    <w:next w:val="style19"/>
    <w:rPr>
      <w:color w:val="808080"/>
    </w:rPr>
  </w:style>
  <w:style w:styleId="style20" w:type="character">
    <w:name w:val="Lien Internet"/>
    <w:basedOn w:val="style15"/>
    <w:next w:val="style20"/>
    <w:rPr>
      <w:color w:val="0563C1"/>
      <w:u w:val="single"/>
      <w:lang w:bidi="zxx-" w:eastAsia="zxx-" w:val="zxx-"/>
    </w:rPr>
  </w:style>
  <w:style w:styleId="style21" w:type="character">
    <w:name w:val="Texte de bulles Car"/>
    <w:basedOn w:val="style15"/>
    <w:next w:val="style21"/>
    <w:rPr>
      <w:rFonts w:ascii="Tahoma" w:cs="Tahoma" w:hAnsi="Tahoma"/>
      <w:sz w:val="16"/>
      <w:szCs w:val="16"/>
    </w:rPr>
  </w:style>
  <w:style w:styleId="style22" w:type="paragraph">
    <w:name w:val="Titre"/>
    <w:basedOn w:val="style0"/>
    <w:next w:val="style23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3" w:type="paragraph">
    <w:name w:val="Corps de texte"/>
    <w:basedOn w:val="style0"/>
    <w:next w:val="style23"/>
    <w:pPr>
      <w:spacing w:after="120" w:before="0"/>
      <w:contextualSpacing w:val="false"/>
    </w:pPr>
    <w:rPr/>
  </w:style>
  <w:style w:styleId="style24" w:type="paragraph">
    <w:name w:val="Liste"/>
    <w:basedOn w:val="style23"/>
    <w:next w:val="style24"/>
    <w:pPr/>
    <w:rPr>
      <w:rFonts w:cs="Mangal"/>
    </w:rPr>
  </w:style>
  <w:style w:styleId="style25" w:type="paragraph">
    <w:name w:val="Légende"/>
    <w:basedOn w:val="style0"/>
    <w:next w:val="style25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6" w:type="paragraph">
    <w:name w:val="Index"/>
    <w:basedOn w:val="style0"/>
    <w:next w:val="style26"/>
    <w:pPr>
      <w:suppressLineNumbers/>
    </w:pPr>
    <w:rPr>
      <w:rFonts w:cs="Mangal"/>
    </w:rPr>
  </w:style>
  <w:style w:styleId="style27" w:type="paragraph">
    <w:name w:val="List Paragraph"/>
    <w:basedOn w:val="style0"/>
    <w:next w:val="style27"/>
    <w:pPr>
      <w:spacing w:after="160" w:before="0"/>
      <w:ind w:hanging="0" w:left="720" w:right="0"/>
      <w:contextualSpacing/>
    </w:pPr>
    <w:rPr/>
  </w:style>
  <w:style w:styleId="style28" w:type="paragraph">
    <w:name w:val="Balloon Text"/>
    <w:basedOn w:val="style0"/>
    <w:next w:val="style28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  <w:style w:styleId="style29" w:type="paragraph">
    <w:name w:val="Contenu de cadre"/>
    <w:basedOn w:val="style23"/>
    <w:next w:val="style29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n.wikipedia.org/wiki/Biological_membrane" TargetMode="External"/><Relationship Id="rId3" Type="http://schemas.openxmlformats.org/officeDocument/2006/relationships/hyperlink" Target="https://www.ncbi.nlm.nih.gov/pmc/articles/PMC4626904/pdf/bse0590043.pdf" TargetMode="External"/><Relationship Id="rId4" Type="http://schemas.openxmlformats.org/officeDocument/2006/relationships/hyperlink" Target="https://www.pmf.unizg.hr/_download/repository/5_Biomembranes.pdf" TargetMode="External"/><Relationship Id="rId5" Type="http://schemas.openxmlformats.org/officeDocument/2006/relationships/hyperlink" Target="https://en.wikipedia.org/wiki/Cell_membrane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SYLLABUS</Template>
  <TotalTime>27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2023-12-16T12:38:00.00Z</dcterms:created>
  <dc:creator>bureau progress2</dc:creator>
  <cp:lastModifiedBy>AKRAM</cp:lastModifiedBy>
  <cp:lastPrinted>2023-02-19T12:06:00.00Z</cp:lastPrinted>
  <dcterms:modified xsi:type="dcterms:W3CDTF">2023-12-16T13:34:00.00Z</dcterms:modified>
  <cp:revision>10</cp:revision>
</cp:coreProperties>
</file>