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49" w:rsidRDefault="002C5549">
      <w:bookmarkStart w:id="0" w:name="_GoBack"/>
      <w:bookmarkEnd w:id="0"/>
    </w:p>
    <w:p w:rsidR="002C5549" w:rsidRDefault="002C5549">
      <w:pPr>
        <w:jc w:val="center"/>
        <w:rPr>
          <w:b/>
          <w:bCs/>
          <w:sz w:val="28"/>
          <w:szCs w:val="28"/>
        </w:rPr>
      </w:pPr>
    </w:p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2C5549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Pr="00B86587" w:rsidRDefault="00B86587">
            <w:pPr>
              <w:spacing w:after="0" w:line="240" w:lineRule="auto"/>
              <w:rPr>
                <w:sz w:val="24"/>
                <w:szCs w:val="24"/>
              </w:rPr>
            </w:pPr>
            <w:r w:rsidRPr="00B86587">
              <w:rPr>
                <w:sz w:val="24"/>
                <w:szCs w:val="24"/>
              </w:rPr>
              <w:t xml:space="preserve">Nom EES </w:t>
            </w:r>
            <w:r w:rsidRPr="00B86587">
              <w:rPr>
                <w:sz w:val="24"/>
                <w:szCs w:val="24"/>
              </w:rPr>
              <w:t>: Université Farhat Abbes, Sétif 1</w:t>
            </w:r>
          </w:p>
          <w:p w:rsidR="002C5549" w:rsidRDefault="00B8658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Département : Biochimie</w:t>
            </w:r>
          </w:p>
        </w:tc>
      </w:tr>
    </w:tbl>
    <w:p w:rsidR="002C5549" w:rsidRDefault="002C5549"/>
    <w:tbl>
      <w:tblPr>
        <w:tblW w:w="906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062"/>
      </w:tblGrid>
      <w:tr w:rsidR="002C554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8"/>
                <w:szCs w:val="28"/>
              </w:rPr>
              <w:t>PROGRAMME DE MATIÈRE</w:t>
            </w:r>
          </w:p>
          <w:p w:rsidR="002C5549" w:rsidRDefault="00B86587">
            <w:pPr>
              <w:spacing w:after="0" w:line="240" w:lineRule="auto"/>
              <w:jc w:val="center"/>
            </w:pPr>
            <w:r w:rsidRPr="00B86587">
              <w:rPr>
                <w:b/>
                <w:bCs/>
              </w:rPr>
              <w:t>(à paraître sur le site Internet de l'institution)</w:t>
            </w:r>
          </w:p>
        </w:tc>
      </w:tr>
      <w:tr w:rsidR="002C5549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B86587">
              <w:rPr>
                <w:sz w:val="28"/>
                <w:szCs w:val="28"/>
              </w:rPr>
              <w:t>Pharmacotoxicologie expérimentale des substances actives</w:t>
            </w:r>
          </w:p>
        </w:tc>
      </w:tr>
    </w:tbl>
    <w:p w:rsidR="002C5549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668"/>
        <w:gridCol w:w="2438"/>
        <w:gridCol w:w="1433"/>
        <w:gridCol w:w="1544"/>
        <w:gridCol w:w="855"/>
        <w:gridCol w:w="1122"/>
      </w:tblGrid>
      <w:tr w:rsidR="002C5549">
        <w:trPr>
          <w:trHeight w:val="547"/>
        </w:trPr>
        <w:tc>
          <w:tcPr>
            <w:tcW w:w="4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sz w:val="32"/>
                <w:szCs w:val="32"/>
              </w:rPr>
              <w:t>PROFESSEUR DE COURS MAGISTRAL</w:t>
            </w:r>
          </w:p>
        </w:tc>
        <w:tc>
          <w:tcPr>
            <w:tcW w:w="4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5549" w:rsidRDefault="00B8658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KARBAB Ahlem</w:t>
            </w:r>
          </w:p>
        </w:tc>
      </w:tr>
      <w:tr w:rsidR="002C5549">
        <w:tc>
          <w:tcPr>
            <w:tcW w:w="41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5549" w:rsidRDefault="002C5549">
            <w:pPr>
              <w:snapToGrid w:val="0"/>
              <w:spacing w:after="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</w:pPr>
            <w:r>
              <w:t xml:space="preserve">Accueil étudiant </w:t>
            </w:r>
            <w:r>
              <w:t>par semaine</w:t>
            </w:r>
          </w:p>
        </w:tc>
      </w:tr>
      <w:tr w:rsidR="002C554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E-mail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hyperlink r:id="rId5">
              <w:r>
                <w:rPr>
                  <w:rStyle w:val="Lienhypertexte"/>
                  <w:b/>
                  <w:bCs/>
                </w:rPr>
                <w:t>ahlem.karbab@univ-setif.dz</w:t>
              </w:r>
            </w:hyperlink>
            <w:r>
              <w:rPr>
                <w:b/>
                <w:bCs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Jour: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Lundi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heure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8h à 9h30</w:t>
            </w:r>
          </w:p>
        </w:tc>
      </w:tr>
      <w:tr w:rsidR="002C554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Bureau Tél.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Jour 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Mercredi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heure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12h30 à 14h</w:t>
            </w:r>
          </w:p>
        </w:tc>
      </w:tr>
      <w:tr w:rsidR="002C554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Tél Secrétariat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Jour 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Jeudi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heure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10 à 12</w:t>
            </w:r>
          </w:p>
        </w:tc>
      </w:tr>
      <w:tr w:rsidR="002C554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Autre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0657616822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Bâtiment 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Bureau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B19</w:t>
            </w:r>
          </w:p>
        </w:tc>
      </w:tr>
    </w:tbl>
    <w:p w:rsidR="002C5549" w:rsidRDefault="002C5549"/>
    <w:p w:rsidR="002C5549" w:rsidRDefault="002C5549"/>
    <w:tbl>
      <w:tblPr>
        <w:tblW w:w="5000" w:type="pct"/>
        <w:tblInd w:w="-113" w:type="dxa"/>
        <w:tblLayout w:type="fixed"/>
        <w:tblLook w:val="0000" w:firstRow="0" w:lastRow="0" w:firstColumn="0" w:lastColumn="0" w:noHBand="0" w:noVBand="0"/>
      </w:tblPr>
      <w:tblGrid>
        <w:gridCol w:w="2181"/>
        <w:gridCol w:w="1782"/>
        <w:gridCol w:w="852"/>
        <w:gridCol w:w="849"/>
        <w:gridCol w:w="850"/>
        <w:gridCol w:w="850"/>
        <w:gridCol w:w="852"/>
        <w:gridCol w:w="844"/>
      </w:tblGrid>
      <w:tr w:rsidR="002C5549">
        <w:tc>
          <w:tcPr>
            <w:tcW w:w="9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TUTORIELS</w:t>
            </w:r>
          </w:p>
          <w:p w:rsidR="002C5549" w:rsidRDefault="00B86587">
            <w:pPr>
              <w:spacing w:after="0" w:line="240" w:lineRule="auto"/>
              <w:jc w:val="center"/>
            </w:pPr>
            <w:r>
              <w:rPr>
                <w:sz w:val="36"/>
                <w:szCs w:val="36"/>
              </w:rPr>
              <w:t>(Accueil étudiant par semaine)</w:t>
            </w:r>
          </w:p>
        </w:tc>
      </w:tr>
      <w:tr w:rsidR="002C5549"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Pr="00B86587" w:rsidRDefault="00B86587">
            <w:pPr>
              <w:spacing w:after="0" w:line="240" w:lineRule="auto"/>
              <w:jc w:val="center"/>
            </w:pPr>
            <w:r w:rsidRPr="00B86587">
              <w:t>Noms et prénoms des enseignants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</w:pPr>
            <w:r>
              <w:t>Bureau/salle de réception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1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2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3</w:t>
            </w:r>
          </w:p>
        </w:tc>
      </w:tr>
      <w:tr w:rsidR="002C5549">
        <w:tc>
          <w:tcPr>
            <w:tcW w:w="2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Heure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Heure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Heure</w:t>
            </w: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</w:tbl>
    <w:p w:rsidR="002C5549" w:rsidRDefault="002C5549"/>
    <w:tbl>
      <w:tblPr>
        <w:tblW w:w="5000" w:type="pct"/>
        <w:tblInd w:w="-113" w:type="dxa"/>
        <w:tblLayout w:type="fixed"/>
        <w:tblLook w:val="0000" w:firstRow="0" w:lastRow="0" w:firstColumn="0" w:lastColumn="0" w:noHBand="0" w:noVBand="0"/>
      </w:tblPr>
      <w:tblGrid>
        <w:gridCol w:w="2181"/>
        <w:gridCol w:w="1782"/>
        <w:gridCol w:w="984"/>
        <w:gridCol w:w="953"/>
        <w:gridCol w:w="614"/>
        <w:gridCol w:w="850"/>
        <w:gridCol w:w="29"/>
        <w:gridCol w:w="1009"/>
        <w:gridCol w:w="658"/>
      </w:tblGrid>
      <w:tr w:rsidR="002C5549"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Pr="00B86587" w:rsidRDefault="00B8658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B86587">
              <w:rPr>
                <w:sz w:val="36"/>
                <w:szCs w:val="36"/>
              </w:rPr>
              <w:t>TRAVAUX PRATIQUES</w:t>
            </w:r>
          </w:p>
          <w:p w:rsidR="002C5549" w:rsidRPr="00B86587" w:rsidRDefault="00B86587">
            <w:pPr>
              <w:spacing w:after="0" w:line="240" w:lineRule="auto"/>
              <w:jc w:val="center"/>
            </w:pPr>
            <w:r w:rsidRPr="00B86587">
              <w:rPr>
                <w:sz w:val="36"/>
                <w:szCs w:val="36"/>
              </w:rPr>
              <w:t>(Accueil étudiant par semaine)</w:t>
            </w:r>
          </w:p>
        </w:tc>
      </w:tr>
      <w:tr w:rsidR="002C5549"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Pr="00B86587" w:rsidRDefault="00B86587">
            <w:pPr>
              <w:spacing w:after="0" w:line="240" w:lineRule="auto"/>
              <w:jc w:val="center"/>
            </w:pPr>
            <w:r w:rsidRPr="00B86587">
              <w:t>Noms et prénoms des enseignants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Bureau/salle de réception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1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2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B86587">
            <w:pPr>
              <w:spacing w:after="0" w:line="240" w:lineRule="auto"/>
              <w:jc w:val="center"/>
            </w:pPr>
            <w:r>
              <w:t>Séance 3</w:t>
            </w:r>
          </w:p>
        </w:tc>
      </w:tr>
      <w:tr w:rsidR="002C5549">
        <w:tc>
          <w:tcPr>
            <w:tcW w:w="2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Heure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Heure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Heure</w:t>
            </w: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Karbab Ahlem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Laboratoire 06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Mardi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12h-17h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je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Belmahdi Amina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Laboratoire 01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Lundi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8h-12h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</w:tbl>
    <w:p w:rsidR="002C5549" w:rsidRDefault="002C5549"/>
    <w:p w:rsidR="002C5549" w:rsidRDefault="002C5549"/>
    <w:p w:rsidR="002C5549" w:rsidRDefault="002C5549"/>
    <w:p w:rsidR="002C5549" w:rsidRDefault="002C5549"/>
    <w:p w:rsidR="002C5549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547"/>
        <w:gridCol w:w="6513"/>
      </w:tblGrid>
      <w:tr w:rsidR="002C5549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 DU COURS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Objectif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B86587">
              <w:rPr>
                <w:rFonts w:cs="Calibri"/>
                <w:sz w:val="24"/>
                <w:szCs w:val="24"/>
              </w:rPr>
              <w:t xml:space="preserve">L'objet de la pharmacologie est d'étudier le devenir </w:t>
            </w:r>
            <w:r w:rsidRPr="00B86587">
              <w:rPr>
                <w:rFonts w:cs="Calibri"/>
                <w:sz w:val="24"/>
                <w:szCs w:val="24"/>
              </w:rPr>
              <w:t xml:space="preserve">d'un médicament dans l'organisme depuis sa prise par le patient jusqu'à son effet thérapeutique puis son élimination. </w:t>
            </w:r>
            <w:r>
              <w:rPr>
                <w:rFonts w:cs="Calibri"/>
                <w:sz w:val="24"/>
                <w:szCs w:val="24"/>
                <w:lang w:val="en-US"/>
              </w:rPr>
              <w:t>La pharmacologie est donc la science des médicaments.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Type d'unité d'enseignement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Unité d'enseignement fondamental 1 (UEF 1)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 xml:space="preserve">Contenu </w:t>
            </w:r>
            <w:r>
              <w:t>succinct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autoSpaceDE w:val="0"/>
              <w:spacing w:after="0" w:line="240" w:lineRule="auto"/>
            </w:pPr>
            <w:r w:rsidRPr="00B86587">
              <w:rPr>
                <w:rFonts w:ascii="NimbusSanL;Calibri" w:hAnsi="NimbusSanL;Calibri" w:cs="NimbusSanL;Calibri"/>
                <w:color w:val="000000"/>
                <w:sz w:val="24"/>
                <w:szCs w:val="24"/>
              </w:rPr>
              <w:t>1. Informations générales sur la substance active et son activité relative</w:t>
            </w:r>
          </w:p>
          <w:p w:rsidR="002C5549" w:rsidRDefault="00B86587">
            <w:pPr>
              <w:autoSpaceDE w:val="0"/>
              <w:spacing w:after="0" w:line="240" w:lineRule="auto"/>
            </w:pPr>
            <w:r w:rsidRPr="00B86587">
              <w:rPr>
                <w:rFonts w:ascii="NimbusSanL;Calibri" w:hAnsi="NimbusSanL;Calibri" w:cs="NimbusSanL;Calibri"/>
                <w:color w:val="000000"/>
                <w:sz w:val="24"/>
                <w:szCs w:val="24"/>
              </w:rPr>
              <w:t>2. Informations générales sur la spécialité pharmaceutique, la préparation médicamenteuse et la forme galénique.</w:t>
            </w:r>
          </w:p>
          <w:p w:rsidR="002C5549" w:rsidRDefault="00B86587">
            <w:pPr>
              <w:autoSpaceDE w:val="0"/>
              <w:spacing w:after="0" w:line="240" w:lineRule="auto"/>
            </w:pPr>
            <w:r w:rsidRPr="00B86587">
              <w:rPr>
                <w:rFonts w:ascii="NimbusSanL;Calibri" w:hAnsi="NimbusSanL;Calibri" w:cs="NimbusSanL;Calibri"/>
                <w:color w:val="000000"/>
                <w:sz w:val="24"/>
                <w:szCs w:val="24"/>
              </w:rPr>
              <w:t>3. Processus de développement d'une nouvelle substance acti</w:t>
            </w:r>
            <w:r w:rsidRPr="00B86587">
              <w:rPr>
                <w:rFonts w:ascii="NimbusSanL;Calibri" w:hAnsi="NimbusSanL;Calibri" w:cs="NimbusSanL;Calibri"/>
                <w:color w:val="000000"/>
                <w:sz w:val="24"/>
                <w:szCs w:val="24"/>
              </w:rPr>
              <w:t>ve.</w:t>
            </w:r>
          </w:p>
          <w:p w:rsidR="002C5549" w:rsidRDefault="00B86587">
            <w:pPr>
              <w:autoSpaceDE w:val="0"/>
              <w:spacing w:after="0" w:line="240" w:lineRule="auto"/>
            </w:pPr>
            <w:r w:rsidRPr="00B86587">
              <w:rPr>
                <w:rFonts w:ascii="NimbusSanL;Calibri" w:hAnsi="NimbusSanL;Calibri" w:cs="NimbusSanL;Calibri"/>
                <w:color w:val="000000"/>
                <w:sz w:val="24"/>
                <w:szCs w:val="24"/>
              </w:rPr>
              <w:t>4. Méthodes alternatives dans le processus de développement d'une nouvelle substance active.</w:t>
            </w:r>
          </w:p>
          <w:p w:rsidR="002C5549" w:rsidRDefault="00B86587">
            <w:pPr>
              <w:autoSpaceDE w:val="0"/>
              <w:spacing w:after="0" w:line="240" w:lineRule="auto"/>
              <w:rPr>
                <w:rFonts w:ascii="NimbusSanL;Calibri" w:hAnsi="NimbusSanL;Calibri" w:cs="NimbusSanL;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lang w:val="en-US"/>
              </w:rPr>
              <w:t>5. Outils utilisés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Crédits de matière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Coefficient de matière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05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Pondération de participation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Pondération de fréquentation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Calcul moyen</w:t>
            </w:r>
            <w:r>
              <w:t>CC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2C5549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Compétences</w:t>
            </w:r>
            <w:r>
              <w:rPr>
                <w:rStyle w:val="rynqvb"/>
                <w:lang w:val="en"/>
              </w:rPr>
              <w:t xml:space="preserve"> ciblées</w:t>
            </w:r>
          </w:p>
        </w:tc>
        <w:tc>
          <w:tcPr>
            <w:tcW w:w="6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549" w:rsidRDefault="002C5549"/>
    <w:p w:rsidR="002C5549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817"/>
        <w:gridCol w:w="142"/>
        <w:gridCol w:w="850"/>
        <w:gridCol w:w="1134"/>
        <w:gridCol w:w="989"/>
        <w:gridCol w:w="996"/>
        <w:gridCol w:w="1446"/>
        <w:gridCol w:w="1528"/>
        <w:gridCol w:w="1158"/>
      </w:tblGrid>
      <w:tr w:rsidR="002C5549">
        <w:tc>
          <w:tcPr>
            <w:tcW w:w="90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Pr="00B86587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 w:rsidRPr="00B86587">
              <w:rPr>
                <w:b/>
                <w:bCs/>
              </w:rPr>
              <w:t>ÉVALUATION DES CONTRÔLES CONTINUS DES CONNAISSANCES</w:t>
            </w:r>
          </w:p>
        </w:tc>
      </w:tr>
      <w:tr w:rsidR="002C5549">
        <w:tc>
          <w:tcPr>
            <w:tcW w:w="90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PREMIER CONTRÔLE DES CONNAISSANCES</w:t>
            </w:r>
          </w:p>
        </w:tc>
      </w:tr>
      <w:tr w:rsidR="002C554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Séance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Durée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Type 1)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Doc autorisé (Oui, Non)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Échelle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 w:rsidRPr="00B86587">
              <w:rPr>
                <w:rStyle w:val="rynqvb"/>
              </w:rPr>
              <w:t>Echange après évaluation</w:t>
            </w:r>
            <w:r w:rsidRPr="00B86587">
              <w:t>(date Consulter copie)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Critère d'évaluation</w:t>
            </w:r>
            <w:r>
              <w:t>(2)</w:t>
            </w:r>
          </w:p>
        </w:tc>
      </w:tr>
      <w:tr w:rsidR="002C554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</w:tr>
      <w:tr w:rsidR="002C5549">
        <w:tc>
          <w:tcPr>
            <w:tcW w:w="90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DEUXIÈME </w:t>
            </w:r>
            <w:r>
              <w:rPr>
                <w:b/>
                <w:bCs/>
              </w:rPr>
              <w:t>CONTRÔLE DES CONNAISSANCES</w:t>
            </w:r>
          </w:p>
        </w:tc>
      </w:tr>
      <w:tr w:rsidR="002C554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Jour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Séance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Durée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Type 1)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Doc autorisé (Oui, Non)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Échelle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Pr="00B86587" w:rsidRDefault="00B86587">
            <w:pPr>
              <w:spacing w:after="0" w:line="240" w:lineRule="auto"/>
              <w:jc w:val="center"/>
            </w:pPr>
            <w:r w:rsidRPr="00B86587">
              <w:rPr>
                <w:rStyle w:val="rynqvb"/>
              </w:rPr>
              <w:t>Echange après évaluation</w:t>
            </w:r>
            <w:r w:rsidRPr="00B86587">
              <w:t>(date Consulter copie)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Critère d'évaluation</w:t>
            </w:r>
            <w:r>
              <w:t>(2)</w:t>
            </w:r>
          </w:p>
        </w:tc>
      </w:tr>
      <w:tr w:rsidR="002C5549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jc w:val="center"/>
            </w:pPr>
          </w:p>
        </w:tc>
      </w:tr>
    </w:tbl>
    <w:p w:rsidR="002C5549" w:rsidRPr="00B86587" w:rsidRDefault="00B86587">
      <w:pPr>
        <w:pStyle w:val="Paragraphedeliste"/>
        <w:numPr>
          <w:ilvl w:val="0"/>
          <w:numId w:val="2"/>
        </w:numPr>
      </w:pPr>
      <w:r w:rsidRPr="00B86587">
        <w:t>Type : W= écrit, IP= présentation individuelle, PC=Présentation en classe, EX=expérimentation, QCM</w:t>
      </w:r>
    </w:p>
    <w:p w:rsidR="002C5549" w:rsidRPr="00B86587" w:rsidRDefault="00B86587">
      <w:pPr>
        <w:pStyle w:val="Paragraphedeliste"/>
        <w:numPr>
          <w:ilvl w:val="0"/>
          <w:numId w:val="2"/>
        </w:numPr>
      </w:pPr>
      <w:r w:rsidRPr="00B86587">
        <w:rPr>
          <w:rStyle w:val="rynqvb"/>
        </w:rPr>
        <w:t>Critère d'évaluation</w:t>
      </w:r>
      <w:r w:rsidRPr="00B86587">
        <w:t>:A=Analyse, S= synthèse,AR=argumentation, G= démarche, R=résultats</w:t>
      </w:r>
    </w:p>
    <w:p w:rsidR="002C5549" w:rsidRPr="00B86587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122"/>
        <w:gridCol w:w="6938"/>
      </w:tblGrid>
      <w:tr w:rsidR="002C5549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ÉQUIPEMENT ET MATÉRIAUX UTILISÉS</w:t>
            </w: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Adresses des plateformes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UFAS-1</w:t>
            </w: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 w:rsidRPr="00B86587">
              <w:lastRenderedPageBreak/>
              <w:t>Noms des applications (Web, réseau local)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lang w:val="en-US"/>
              </w:rPr>
            </w:pPr>
            <w:r>
              <w:t>Site Internet du FSNV</w:t>
            </w:r>
          </w:p>
          <w:p w:rsidR="002C5549" w:rsidRDefault="002C5549">
            <w:pPr>
              <w:spacing w:after="0" w:line="240" w:lineRule="auto"/>
              <w:rPr>
                <w:lang w:val="en-US"/>
              </w:rPr>
            </w:pP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t>Support de cours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Support court (documents)</w:t>
            </w: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Matériel de laboratoire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>
              <w:rPr>
                <w:rStyle w:val="rynqvb"/>
                <w:lang w:val="en"/>
              </w:rPr>
              <w:t>Matériaux de protection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</w:tc>
      </w:tr>
      <w:tr w:rsidR="002C5549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</w:pPr>
            <w:r w:rsidRPr="00B86587">
              <w:rPr>
                <w:rStyle w:val="rynqvb"/>
              </w:rPr>
              <w:t>Matériel de sortie de terrain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</w:tc>
      </w:tr>
    </w:tbl>
    <w:p w:rsidR="002C5549" w:rsidRDefault="002C5549"/>
    <w:p w:rsidR="002C5549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689"/>
        <w:gridCol w:w="6371"/>
      </w:tblGrid>
      <w:tr w:rsidR="002C5549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ATTENTES</w:t>
            </w: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 w:rsidRPr="00B86587">
              <w:rPr>
                <w:rStyle w:val="rynqvb"/>
              </w:rPr>
              <w:t>Attentes des étudiants</w:t>
            </w:r>
            <w:r>
              <w:t>(Participation-implication)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Pr="00B86587" w:rsidRDefault="00B86587">
            <w:pPr>
              <w:spacing w:after="0" w:line="240" w:lineRule="auto"/>
              <w:jc w:val="both"/>
            </w:pPr>
            <w:r w:rsidRPr="00B86587">
              <w:t>Répertorier les étapes du processus de développement d'une nouvelle substance active ainsi que les études réalisées à chaque étape et les méthodes utilisées, officielles et alternatives.</w:t>
            </w: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549" w:rsidRDefault="00B86587">
            <w:pPr>
              <w:spacing w:after="0" w:line="240" w:lineRule="auto"/>
              <w:jc w:val="center"/>
            </w:pPr>
            <w:r>
              <w:t>Attentes des enseignants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Default="00B86587">
            <w:pPr>
              <w:spacing w:after="0" w:line="240" w:lineRule="auto"/>
              <w:jc w:val="both"/>
            </w:pPr>
            <w:r w:rsidRPr="00B86587">
              <w:t xml:space="preserve">Meilleure </w:t>
            </w:r>
            <w:r w:rsidRPr="00B86587">
              <w:t>évaluation des risques liés à une éventuelle administration de telles substances notamment à l'homme et aux animaux à des fins curatives ou préventives.</w:t>
            </w:r>
          </w:p>
          <w:p w:rsidR="002C5549" w:rsidRPr="00B86587" w:rsidRDefault="002C5549">
            <w:pPr>
              <w:spacing w:after="0" w:line="240" w:lineRule="auto"/>
            </w:pPr>
          </w:p>
        </w:tc>
      </w:tr>
    </w:tbl>
    <w:p w:rsidR="002C5549" w:rsidRPr="00B86587" w:rsidRDefault="002C5549"/>
    <w:tbl>
      <w:tblPr>
        <w:tblW w:w="9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689"/>
        <w:gridCol w:w="6371"/>
      </w:tblGrid>
      <w:tr w:rsidR="002C5549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C5549" w:rsidRDefault="00B865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BIBLIOGRAPHIE</w:t>
            </w: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Livres et ressources numériques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Papiers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Karbab A, Charef N, Abu-Zarga HM, Qadri M, Mubarak MS. 2021. </w:t>
            </w:r>
            <w:r w:rsidRPr="00B86587">
              <w:rPr>
                <w:rFonts w:cs="Calibri"/>
                <w:sz w:val="23"/>
                <w:szCs w:val="23"/>
                <w:shd w:val="clear" w:color="auto" w:fill="FFFFFF"/>
              </w:rPr>
              <w:t xml:space="preserve">Documentation ethnomédicale et effets anti-inflammatoires de l'extrait de n-butanol et de quatre composés isolés des tiges de Pituranthos scoparius : une enquête in vitro et in vivo. </w:t>
            </w:r>
            <w:r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J. Ethnophar</w:t>
            </w:r>
            <w:r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macol., 267 : 113488. DOI : 10.1016/j.jep.2020.113488.</w:t>
            </w:r>
          </w:p>
          <w:p w:rsidR="002C5549" w:rsidRDefault="002C5549">
            <w:pPr>
              <w:spacing w:after="0" w:line="240" w:lineRule="auto"/>
              <w:rPr>
                <w:rFonts w:cs="Calibri"/>
              </w:rPr>
            </w:pP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t>Support de cours</w:t>
            </w:r>
          </w:p>
          <w:p w:rsidR="002C5549" w:rsidRDefault="002C5549">
            <w:pPr>
              <w:spacing w:after="0" w:line="240" w:lineRule="auto"/>
            </w:pPr>
          </w:p>
          <w:p w:rsidR="002C5549" w:rsidRDefault="002C5549">
            <w:pPr>
              <w:spacing w:after="0" w:line="240" w:lineRule="auto"/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2C5549">
            <w:pPr>
              <w:snapToGrid w:val="0"/>
              <w:spacing w:after="0" w:line="240" w:lineRule="auto"/>
              <w:rPr>
                <w:rFonts w:cs="Calibri"/>
              </w:rPr>
            </w:pPr>
          </w:p>
          <w:p w:rsidR="002C5549" w:rsidRDefault="00B8658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 Mahdadi R PHARMACOLOGIE ET ​​TOXICOLOGIE EXPERIMENTALE DES SUBSTANCES ACTIVES</w:t>
            </w:r>
          </w:p>
          <w:p w:rsidR="002C5549" w:rsidRDefault="002C5549">
            <w:pPr>
              <w:spacing w:after="0" w:line="240" w:lineRule="auto"/>
              <w:rPr>
                <w:rFonts w:cs="Calibri"/>
              </w:rPr>
            </w:pPr>
          </w:p>
        </w:tc>
      </w:tr>
      <w:tr w:rsidR="002C554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</w:pPr>
            <w:r>
              <w:rPr>
                <w:rFonts w:cs="Calibri"/>
              </w:rPr>
              <w:t>Sites Internet</w:t>
            </w:r>
          </w:p>
          <w:p w:rsidR="002C5549" w:rsidRDefault="002C5549">
            <w:pPr>
              <w:spacing w:after="0" w:line="240" w:lineRule="auto"/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49" w:rsidRDefault="00B8658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Site Internet du FSNV Sétif</w:t>
            </w:r>
          </w:p>
        </w:tc>
      </w:tr>
    </w:tbl>
    <w:p w:rsidR="002C5549" w:rsidRDefault="002C5549"/>
    <w:p w:rsidR="002C5549" w:rsidRDefault="00B86587">
      <w:pPr>
        <w:rPr>
          <w:b/>
          <w:bCs/>
          <w:u w:val="single"/>
          <w:lang w:val="en-US" w:eastAsia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" behindDoc="0" locked="0" layoutInCell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323215</wp:posOffset>
                </wp:positionV>
                <wp:extent cx="2863850" cy="1901825"/>
                <wp:effectExtent l="0" t="0" r="0" b="0"/>
                <wp:wrapNone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0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2C5549" w:rsidRDefault="00B8658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Cachet humide du département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225.5pt;height:149.75pt;mso-wrap-distance-left:9.05pt;mso-wrap-distance-right:9.05pt;mso-wrap-distance-top:0pt;mso-wrap-distance-bottom:0pt;margin-top:25.45pt;mso-position-vertical-relative:text;margin-left:125.35pt;mso-position-horizontal-relative:text"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b/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Cachet humide du département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 w:rsidR="002C5549">
      <w:pgSz w:w="11906" w:h="16838"/>
      <w:pgMar w:top="851" w:right="1418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imbusSanL;Calib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F7FBE"/>
    <w:multiLevelType w:val="multilevel"/>
    <w:tmpl w:val="DDE0567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8B47396"/>
    <w:multiLevelType w:val="multilevel"/>
    <w:tmpl w:val="11C65B1E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856673"/>
    <w:multiLevelType w:val="multilevel"/>
    <w:tmpl w:val="51B29EC8"/>
    <w:lvl w:ilvl="0">
      <w:start w:val="1"/>
      <w:numFmt w:val="decimal"/>
      <w:pStyle w:val="Titre3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5B1160A8"/>
    <w:multiLevelType w:val="multilevel"/>
    <w:tmpl w:val="AF74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49"/>
    <w:rsid w:val="002C5549"/>
    <w:rsid w:val="00B8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3E74D-73A6-446E-AB53-4105F3C1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6" w:lineRule="auto"/>
    </w:pPr>
    <w:rPr>
      <w:rFonts w:ascii="Calibri" w:eastAsia="Calibri" w:hAnsi="Calibri" w:cs="Arial"/>
      <w:sz w:val="22"/>
      <w:szCs w:val="22"/>
      <w:lang w:val="fr-FR" w:bidi="ar-SA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3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  <w:lang w:val="en-US"/>
    </w:rPr>
  </w:style>
  <w:style w:type="paragraph" w:styleId="Titre2">
    <w:name w:val="heading 2"/>
    <w:basedOn w:val="Normal"/>
    <w:next w:val="Normal"/>
    <w:qFormat/>
    <w:pPr>
      <w:numPr>
        <w:ilvl w:val="1"/>
        <w:numId w:val="1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  <w:lang w:val="en-US"/>
    </w:rPr>
  </w:style>
  <w:style w:type="paragraph" w:styleId="Titre3">
    <w:name w:val="heading 3"/>
    <w:basedOn w:val="Normal"/>
    <w:next w:val="Normal"/>
    <w:qFormat/>
    <w:pPr>
      <w:keepNext/>
      <w:keepLines/>
      <w:numPr>
        <w:numId w:val="4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lang w:val="en-US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itre1Car">
    <w:name w:val="Titre 1 Car"/>
    <w:qFormat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qFormat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qFormat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Textedelespacerserv">
    <w:name w:val="Placeholder Text"/>
    <w:qFormat/>
    <w:rPr>
      <w:color w:val="808080"/>
    </w:rPr>
  </w:style>
  <w:style w:type="character" w:styleId="Lienhypertexte">
    <w:name w:val="Hyperlink"/>
    <w:rPr>
      <w:color w:val="0563C1"/>
      <w:u w:val="single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customStyle="1" w:styleId="rynqvb">
    <w:name w:val="rynqvb"/>
    <w:basedOn w:val="Policepardfaut"/>
    <w:qFormat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hlem.karbab@univ-setif.d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2023-12-24T19:18:00Z</dcterms:created>
  <dcterms:modified xsi:type="dcterms:W3CDTF">2023-12-24T19:19:00Z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2023-12-09T20:36:00Z</dcterms:created>
  <dc:creator>bureau progress2</dc:creator>
  <dc:description/>
  <cp:keywords> </cp:keywords>
  <dc:language>en-US</dc:language>
  <cp:lastModifiedBy>User</cp:lastModifiedBy>
  <cp:lastPrinted>2023-02-19T13:06:00Z</cp:lastPrinted>
  <dcterms:modified xsi:type="dcterms:W3CDTF">2023-12-24T19:16:00Z</dcterms:modified>
  <cp:revision>15</cp:revision>
  <dc:subject/>
  <dc:title/>
</cp:coreProperties>
</file>