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sz w:val="28"/>
          <w:szCs w:val="28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اسم م ت ع </w:t>
            </w:r>
            <w:r>
              <w:rPr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جامعة فرحات عباس سطيف 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>قسم</w:t>
            </w:r>
            <w:r>
              <w:rPr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>بيوكيمياء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1"/>
      </w:tblGrid>
      <w:tr>
        <w:trPr>
          <w:cantSplit w:val="false"/>
        </w:trPr>
        <w:tc>
          <w:tcPr>
            <w:tcW w:type="dxa" w:w="9061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sz w:val="44"/>
                <w:sz w:val="44"/>
                <w:szCs w:val="44"/>
                <w:rtl w:val="true"/>
              </w:rPr>
              <w:t>منهج المادة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Cs/>
              </w:rPr>
              <w:t>(</w:t>
            </w:r>
            <w:r>
              <w:rPr>
                <w:b/>
                <w:b/>
                <w:bCs/>
                <w:rtl w:val="true"/>
              </w:rPr>
              <w:t>ينشر في موقع الكلية</w:t>
            </w:r>
            <w:r>
              <w:rPr>
                <w:b/>
                <w:b/>
                <w:bCs/>
              </w:rPr>
              <w:t xml:space="preserve"> </w:t>
            </w:r>
            <w:r>
              <w:rPr>
                <w:b/>
                <w:bCs/>
              </w:rPr>
              <w:t>)</w:t>
            </w:r>
          </w:p>
        </w:tc>
      </w:tr>
      <w:tr>
        <w:trPr>
          <w:cantSplit w:val="false"/>
        </w:trPr>
        <w:tc>
          <w:tcPr>
            <w:tcW w:type="dxa" w:w="9061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Cs w:val="36"/>
              </w:rPr>
              <w:t> </w:t>
            </w:r>
            <w:r>
              <w:rPr>
                <w:sz w:val="36"/>
                <w:sz w:val="36"/>
                <w:szCs w:val="36"/>
                <w:rtl w:val="true"/>
              </w:rPr>
              <w:t>المظاهرالبيوكيميائية للأمراض البشرية</w:t>
            </w:r>
            <w:r>
              <w:rPr>
                <w:sz w:val="36"/>
                <w:szCs w:val="36"/>
                <w:rtl w:val="true"/>
              </w:rPr>
              <w:t xml:space="preserve">: </w:t>
            </w:r>
            <w:r>
              <w:rPr>
                <w:sz w:val="36"/>
                <w:sz w:val="36"/>
                <w:szCs w:val="36"/>
                <w:rtl w:val="true"/>
              </w:rPr>
              <w:t>عنوان المادة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9061"/>
            <w:gridSpan w:val="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2"/>
                <w:sz w:val="32"/>
                <w:szCs w:val="32"/>
                <w:rtl w:val="true"/>
              </w:rPr>
              <w:t>مدرس المحاضرات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بوريش حمامة</w:t>
            </w:r>
          </w:p>
        </w:tc>
      </w:tr>
      <w:tr>
        <w:trPr>
          <w:trHeight w:hRule="atLeast" w:val="269"/>
          <w:cantSplit w:val="false"/>
        </w:trPr>
        <w:tc>
          <w:tcPr>
            <w:tcW w:type="dxa" w:w="9061"/>
            <w:gridSpan w:val="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الامايل</w:t>
            </w:r>
            <w:r>
              <w:rPr/>
              <w:t xml:space="preserve">  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16"/>
                <w:szCs w:val="16"/>
              </w:rPr>
              <w:t>bouriche_ha</w:t>
            </w:r>
            <w:r>
              <w:rPr>
                <w:sz w:val="20"/>
                <w:szCs w:val="20"/>
              </w:rPr>
              <w:t>@</w:t>
            </w:r>
            <w:r>
              <w:rPr>
                <w:sz w:val="16"/>
                <w:szCs w:val="16"/>
              </w:rPr>
              <w:t>hoo.Fr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0"/>
                <w:szCs w:val="20"/>
              </w:rPr>
              <w:t>bouriche@univ-setif.dz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14.00- 12.30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19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>
                <w:rtl w:val="true"/>
              </w:rPr>
              <w:t xml:space="preserve">: </w:t>
            </w:r>
            <w:r>
              <w:rPr>
                <w:rtl w:val="true"/>
              </w:rPr>
              <w:t>الأحد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المكتب</w:t>
            </w:r>
            <w:r>
              <w:rPr/>
              <w:t xml:space="preserve"> 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>11.00- 9.30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19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>
                <w:rtl w:val="true"/>
              </w:rPr>
              <w:t xml:space="preserve">: </w:t>
            </w:r>
            <w:r>
              <w:rPr>
                <w:rtl w:val="true"/>
              </w:rPr>
              <w:t>الثلاثاء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الأمانة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19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يوم</w:t>
            </w:r>
            <w:r>
              <w:rPr/>
              <w:t>: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أخر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0776339914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20          </w:t>
            </w:r>
            <w:r>
              <w:rPr>
                <w:rtl w:val="true"/>
              </w:rPr>
              <w:t>مكتب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F</w:t>
            </w:r>
            <w:r>
              <w:rPr>
                <w:sz w:val="20"/>
                <w:szCs w:val="20"/>
              </w:rPr>
              <w:t>NS : SAM2, A4</w:t>
            </w:r>
            <w:r>
              <w:rPr/>
              <w:t> </w:t>
            </w:r>
          </w:p>
        </w:tc>
        <w:tc>
          <w:tcPr>
            <w:tcW w:type="dxa" w:w="19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مبنى</w:t>
            </w:r>
            <w:r>
              <w:rPr/>
              <w:t xml:space="preserve">:                                   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موجهة</w:t>
            </w:r>
            <w:r>
              <w:rPr>
                <w:sz w:val="36"/>
                <w:sz w:val="36"/>
                <w:szCs w:val="36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4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4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73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4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fldChar w:fldCharType="begin">
                <w:ffData>
                  <w:name w:val="Texte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Texte161"/>
            <w:bookmarkStart w:id="1" w:name="Texte16"/>
            <w:bookmarkStart w:id="2" w:name="Texte16"/>
            <w:bookmarkEnd w:id="2"/>
            <w:r>
              <w:rPr/>
            </w:r>
            <w:bookmarkEnd w:id="0"/>
            <w:r>
              <w:rPr/>
            </w:r>
            <w:r>
              <w:fldChar w:fldCharType="end"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285"/>
      </w:tblGrid>
      <w:tr>
        <w:trPr>
          <w:cantSplit w:val="false"/>
        </w:trPr>
        <w:tc>
          <w:tcPr>
            <w:tcW w:type="dxa" w:w="928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تطبيقية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4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4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4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737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4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Kerbab Ahlem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 xml:space="preserve">1 </w:t>
            </w:r>
            <w:r>
              <w:rPr>
                <w:shd w:fill="auto" w:val="clear"/>
                <w:rtl w:val="true"/>
              </w:rPr>
              <w:t>مخبر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8h-10.15h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الإثنين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10h-12.15h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الإثنين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Kerbab Ahlem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hd w:fill="auto" w:val="clear"/>
              </w:rPr>
              <w:t xml:space="preserve">6 </w:t>
            </w:r>
            <w:r>
              <w:rPr>
                <w:shd w:fill="auto" w:val="clear"/>
                <w:rtl w:val="true"/>
              </w:rPr>
              <w:t>مخبر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8h-11h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الأحد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12h-3h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الأحد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Kerbab Ahlem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hd w:fill="auto" w:val="clear"/>
              </w:rPr>
              <w:t xml:space="preserve">6 </w:t>
            </w:r>
            <w:r>
              <w:rPr>
                <w:shd w:fill="auto" w:val="clear"/>
                <w:rtl w:val="true"/>
              </w:rPr>
              <w:t>مخبر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8h-11h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الثلاثاء</w:t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</w:rPr>
              <w:t>8h-11h</w:t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hd w:fill="auto" w:val="clear"/>
                <w:rtl w:val="true"/>
              </w:rPr>
              <w:t>الثلاثاء</w:t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وصف المحاضرات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الهدف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يركز الاستكشاف في الكيمياء الحيوية الطبية بشكل أساسي على العلامات البيوكيميائية للأمراض، والاستكشافات التي سيتم استخدامها لدراسة الأمراض المرتبطة بها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أمراض الكبد والكلى والغدد الصماء والأورام، وما إلى ذلك</w:t>
            </w:r>
            <w:r>
              <w:rPr>
                <w:rtl w:val="true"/>
              </w:rPr>
              <w:t xml:space="preserve">). </w:t>
            </w:r>
            <w:r>
              <w:rPr>
                <w:rtl w:val="true"/>
              </w:rPr>
              <w:t>فهو يقدم تحديثًا كاملاً  ومناقشًا لإختبارات الكيمياء الحيوية المتاحة لإستكشاف أمراض معينة، ولكن أيضًا  تحديد أولوياتها في النهج التشخيص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نوع وحدة التدريس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Arial" w:hAnsi="Arial"/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وحدة التدريس الأساسية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(UEF1)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محتوىموجز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مقدمة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: </w:t>
            </w:r>
            <w:r>
              <w:rPr>
                <w:rtl w:val="true"/>
              </w:rPr>
              <w:t>الجوانب البيوكيميائية المرتبطة بأمراض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1. </w:t>
            </w:r>
            <w:r>
              <w:rPr>
                <w:rtl w:val="true"/>
              </w:rPr>
              <w:t>الكبد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2. </w:t>
            </w:r>
            <w:r>
              <w:rPr>
                <w:rtl w:val="true"/>
              </w:rPr>
              <w:t>المناعة الذاتية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3. </w:t>
            </w:r>
            <w:r>
              <w:rPr>
                <w:rtl w:val="true"/>
              </w:rPr>
              <w:t>الكلى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4. </w:t>
            </w:r>
            <w:r>
              <w:rPr>
                <w:rtl w:val="true"/>
              </w:rPr>
              <w:t>الغدد الصماء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5. </w:t>
            </w:r>
            <w:r>
              <w:rPr>
                <w:rtl w:val="true"/>
              </w:rPr>
              <w:t>الجهاز التنفسي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6. </w:t>
            </w:r>
            <w:r>
              <w:rPr>
                <w:rtl w:val="true"/>
              </w:rPr>
              <w:t>المتفائلون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7. </w:t>
            </w:r>
            <w:r>
              <w:rPr>
                <w:rtl w:val="true"/>
              </w:rPr>
              <w:t>السرطان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رصيد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6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معامل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المشاركة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 </w:t>
            </w:r>
            <w:r>
              <w:rPr/>
              <w:t xml:space="preserve">5  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الحضور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 </w:t>
            </w:r>
            <w:r>
              <w:rPr/>
              <w:t xml:space="preserve">5     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حساب المعدل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widowControl/>
              <w:spacing w:after="160" w:before="0" w:line="256" w:lineRule="auto"/>
              <w:contextualSpacing w:val="false"/>
            </w:pPr>
            <w:r>
              <w:rPr/>
              <w:t>40% (</w:t>
            </w:r>
            <w:r>
              <w:rPr>
                <w:rtl w:val="true"/>
              </w:rPr>
              <w:t>المشاركة والحضور</w:t>
            </w:r>
            <w:r>
              <w:rPr>
                <w:rtl w:val="true"/>
              </w:rPr>
              <w:t xml:space="preserve">) + </w:t>
            </w:r>
            <w:r>
              <w:rPr/>
              <w:t>60</w:t>
            </w:r>
            <w:r>
              <w:rPr>
                <w:rtl w:val="true"/>
              </w:rPr>
              <w:t>% (</w:t>
            </w:r>
            <w:r>
              <w:rPr>
                <w:rtl w:val="true"/>
              </w:rPr>
              <w:t>الاختبار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المهاراتالمستهدفة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160" w:before="0"/>
              <w:contextualSpacing w:val="false"/>
              <w:jc w:val="right"/>
            </w:pPr>
            <w:r>
              <w:rPr>
                <w:rtl w:val="true"/>
              </w:rPr>
              <w:t>اكتساب المعرفة فيما يتعلق بفحوصات الكيمياء الحيوية لاستكشاف أمراض معينة، وكذلك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تحديد أولوياتها في النهج التشخيصي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تقييماختبارالمعرفةالمستمر</w:t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اختبارالمعرفةالأول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معيارالتقييم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اختبارالمعرفة الثاني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التبادلبعدالتقييم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معيارالتقييم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9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4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30"/>
        <w:numPr>
          <w:ilvl w:val="0"/>
          <w:numId w:val="4"/>
        </w:numPr>
        <w:bidi/>
        <w:ind w:hanging="284" w:left="565" w:right="0"/>
        <w:jc w:val="right"/>
      </w:pPr>
      <w:r>
        <w:rPr>
          <w:rtl w:val="true"/>
        </w:rPr>
        <w:t>النوع</w:t>
      </w:r>
      <w:r>
        <w:rPr>
          <w:rtl w:val="true"/>
        </w:rPr>
        <w:t>:</w:t>
      </w:r>
      <w:r>
        <w:rPr>
          <w:b/>
          <w:b/>
          <w:bCs/>
          <w:rtl w:val="true"/>
        </w:rPr>
        <w:t>م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>مكتوب،</w:t>
      </w:r>
      <w:r>
        <w:rPr>
          <w:b/>
          <w:b/>
          <w:bCs/>
          <w:rtl w:val="true"/>
        </w:rPr>
        <w:t>ع ف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>عرضتقديميفردي،</w:t>
      </w:r>
      <w:r>
        <w:rPr>
          <w:b/>
          <w:b/>
          <w:bCs/>
          <w:rtl w:val="true"/>
        </w:rPr>
        <w:t>ع ق</w:t>
      </w:r>
      <w:r>
        <w:rPr>
          <w:rtl w:val="true"/>
        </w:rPr>
        <w:t xml:space="preserve">عرضتقديمي في القسم،ت </w:t>
      </w:r>
      <w:r>
        <w:rPr>
          <w:rtl w:val="true"/>
        </w:rPr>
        <w:t>= ,</w:t>
      </w:r>
      <w:r>
        <w:rPr>
          <w:rtl w:val="true"/>
        </w:rPr>
        <w:t>تجربة،أسئلة متعددة الاختيارات</w:t>
      </w:r>
    </w:p>
    <w:p>
      <w:pPr>
        <w:pStyle w:val="style0"/>
        <w:bidi/>
        <w:jc w:val="right"/>
      </w:pPr>
      <w:r>
        <w:rPr>
          <w:rtl w:val="true"/>
        </w:rPr>
        <w:t>(</w:t>
      </w:r>
      <w:r>
        <w:rPr/>
        <w:t>2</w:t>
      </w:r>
      <w:r>
        <w:rPr>
          <w:rtl w:val="true"/>
        </w:rPr>
        <w:t>)</w:t>
      </w:r>
      <w:r>
        <w:rPr>
          <w:rtl w:val="true"/>
        </w:rPr>
        <w:t>معاييرالتقييم</w:t>
      </w:r>
      <w:r>
        <w:rPr>
          <w:rtl w:val="true"/>
        </w:rPr>
        <w:t xml:space="preserve">: </w:t>
      </w:r>
      <w:r>
        <w:rPr>
          <w:b/>
          <w:b/>
          <w:bCs/>
          <w:rtl w:val="true"/>
        </w:rPr>
        <w:t>ت ح</w:t>
      </w:r>
      <w:r>
        <w:rPr>
          <w:rtl w:val="true"/>
        </w:rPr>
        <w:t xml:space="preserve">= </w:t>
      </w:r>
      <w:r>
        <w:rPr>
          <w:rtl w:val="true"/>
        </w:rPr>
        <w:t>التحليل،</w:t>
      </w:r>
      <w:r>
        <w:rPr>
          <w:b/>
          <w:b/>
          <w:bCs/>
          <w:rtl w:val="true"/>
        </w:rPr>
        <w:t>ت و</w:t>
      </w:r>
      <w:r>
        <w:rPr>
          <w:rtl w:val="true"/>
        </w:rPr>
        <w:t xml:space="preserve">= </w:t>
      </w:r>
      <w:r>
        <w:rPr>
          <w:rtl w:val="true"/>
        </w:rPr>
        <w:t>التوليف،</w:t>
      </w:r>
      <w:r>
        <w:rPr>
          <w:b/>
          <w:b/>
          <w:bCs/>
          <w:rtl w:val="true"/>
        </w:rPr>
        <w:t>ح ج</w:t>
      </w:r>
      <w:r>
        <w:rPr>
          <w:rtl w:val="true"/>
        </w:rPr>
        <w:t xml:space="preserve">= </w:t>
      </w:r>
      <w:r>
        <w:rPr>
          <w:rtl w:val="true"/>
        </w:rPr>
        <w:t>الحجج،</w:t>
      </w:r>
      <w:r>
        <w:rPr>
          <w:b/>
          <w:b/>
          <w:bCs/>
          <w:rtl w:val="true"/>
        </w:rPr>
        <w:t xml:space="preserve">ن </w:t>
      </w:r>
      <w:r>
        <w:rPr>
          <w:rtl w:val="true"/>
        </w:rPr>
        <w:t>ه</w:t>
      </w:r>
      <w:r>
        <w:rPr>
          <w:rtl w:val="true"/>
        </w:rPr>
        <w:t xml:space="preserve">= </w:t>
      </w:r>
      <w:r>
        <w:rPr>
          <w:rtl w:val="true"/>
        </w:rPr>
        <w:t>النهج،</w:t>
      </w:r>
      <w:r>
        <w:rPr>
          <w:b/>
          <w:b/>
          <w:bCs/>
          <w:rtl w:val="true"/>
        </w:rPr>
        <w:t>ن ت</w:t>
      </w:r>
      <w:r>
        <w:rPr>
          <w:rtl w:val="true"/>
        </w:rPr>
        <w:t>=</w:t>
      </w:r>
      <w:r>
        <w:rPr>
          <w:rtl w:val="true"/>
        </w:rPr>
        <w:t>النتائج</w:t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الأجهزةوالموادالمستخدمة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عنوان المنصة</w:t>
            </w:r>
            <w:r>
              <w:rPr/>
              <w:t xml:space="preserve"> 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جامعة فرحات</w:t>
            </w:r>
            <w:r>
              <w:rPr>
                <w:rtl w:val="true"/>
              </w:rPr>
              <w:t xml:space="preserve">, </w:t>
            </w:r>
            <w:r>
              <w:rPr>
                <w:rtl w:val="true"/>
              </w:rPr>
              <w:t xml:space="preserve">سطيف </w:t>
            </w:r>
            <w:r>
              <w:rPr/>
              <w:t>١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مودل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 xml:space="preserve">أسماءالتطبيقات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الويب،الشبكةالمحلية</w:t>
            </w:r>
            <w:r>
              <w:rPr/>
              <w:t>)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موقع</w:t>
            </w:r>
            <w:r>
              <w:rPr/>
              <w:t xml:space="preserve"> </w:t>
            </w:r>
            <w:r>
              <w:rPr/>
              <w:t>FSNV (</w:t>
            </w:r>
            <w:r>
              <w:rPr>
                <w:rtl w:val="true"/>
              </w:rPr>
              <w:t xml:space="preserve">قسم </w:t>
            </w:r>
            <w:r>
              <w:rPr>
                <w:rtl w:val="true"/>
              </w:rPr>
              <w:t>"</w:t>
            </w:r>
            <w:r>
              <w:rPr>
                <w:rtl w:val="true"/>
              </w:rPr>
              <w:t>علم أصول التدريس</w:t>
            </w:r>
            <w:r>
              <w:rPr/>
              <w:t>")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مطوعات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FSNV  </w:t>
            </w:r>
            <w:r>
              <w:rPr>
                <w:rtl w:val="true"/>
              </w:rPr>
              <w:t>دعم بمطبوعة الدروس على موقع</w:t>
            </w:r>
            <w:r>
              <w:rPr/>
              <w:t xml:space="preserve">   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المختبر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المنتجات الكيميائية لتقدير بعض المعايير البيوكيميائية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الجلوكوز والبيليروبين والكوليسترول</w:t>
            </w:r>
            <w:r>
              <w:rPr>
                <w:rtl w:val="true"/>
              </w:rPr>
              <w:t>)</w:t>
            </w:r>
            <w:r>
              <w:rPr>
                <w:rtl w:val="true"/>
              </w:rPr>
              <w:t xml:space="preserve">، مقياس الطيف الضوئي، الأواني الزجاجية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الماصات الزجاجية والكؤوس والأنابيب</w:t>
            </w:r>
            <w:r>
              <w:rPr/>
              <w:t>).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الحماية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مآزر، قفازات، مرايل، طفاية حريق، تهوية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الخرجات الميدانية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افافق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أفاق الطلاب  المشاركة</w:t>
            </w:r>
            <w:r>
              <w:rPr>
                <w:rtl w:val="true"/>
              </w:rPr>
              <w:t>-</w:t>
            </w:r>
            <w:r>
              <w:rPr>
                <w:rtl w:val="true"/>
              </w:rPr>
              <w:t>إشراك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معرفة الجوانب البيوكيميائية المختلفة التي تظهر خلال الأمراض التي تصيب الإنسان ومعرفة كيفية استخدام نتائج التحليل الطبي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أفاق المدرس</w:t>
            </w:r>
            <w:r>
              <w:rPr/>
              <w:t xml:space="preserve"> 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معرفة أضرار الإنسان ومعرفة كيفية استخدام نتائج التحليل الطبي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85"/>
      </w:tblGrid>
      <w:tr>
        <w:trPr>
          <w:cantSplit w:val="false"/>
        </w:trPr>
        <w:tc>
          <w:tcPr>
            <w:tcW w:type="dxa" w:w="908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قائمة المراجع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الكتبوالمصادرالرقمية</w:t>
            </w:r>
          </w:p>
        </w:tc>
        <w:tc>
          <w:tcPr>
            <w:tcW w:type="dxa" w:w="63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color w:val="111111"/>
                <w:sz w:val="20"/>
                <w:szCs w:val="20"/>
              </w:rPr>
              <w:t>Mario Monto. Physiologie et physiopathologie humaine, des principes de physiologie à la clinique.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hyperlink r:id="rId2">
              <w:r>
                <w:rPr>
                  <w:rStyle w:val="style20"/>
                  <w:color w:val="00000A"/>
                  <w:sz w:val="20"/>
                  <w:szCs w:val="20"/>
                  <w:u w:val="none"/>
                  <w:shd w:fill="FFFFFF" w:val="clear"/>
                </w:rPr>
                <w:t>Sauramps medical</w:t>
              </w:r>
            </w:hyperlink>
            <w:r>
              <w:rPr>
                <w:sz w:val="20"/>
                <w:szCs w:val="20"/>
              </w:rPr>
              <w:t>. 2012.</w:t>
            </w:r>
          </w:p>
        </w:tc>
      </w:tr>
      <w:tr>
        <w:trPr>
          <w:cantSplit w:val="false"/>
        </w:trPr>
        <w:tc>
          <w:tcPr>
            <w:tcW w:type="dxa" w:w="26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المناشير</w:t>
            </w:r>
          </w:p>
        </w:tc>
        <w:tc>
          <w:tcPr>
            <w:tcW w:type="dxa" w:w="63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mbria" w:hAnsi="Cambria"/>
                <w:color w:val="231F20"/>
                <w:sz w:val="20"/>
                <w:szCs w:val="20"/>
                <w:lang w:eastAsia="fr-FR"/>
              </w:rPr>
              <w:t>- Youinou P, Renaudineau Y.Les nouveaux autoanticorpsdusyndrome de Gougerot-Sjögren primaire. Immunoanal BiolSpéc 2006 ;21:158-164.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Cambria" w:cs="Yu Gothic" w:eastAsia="Yu Gothic" w:hAnsi="Cambria"/>
                <w:color w:val="000000"/>
                <w:sz w:val="20"/>
                <w:szCs w:val="20"/>
                <w:lang w:eastAsia="fr-FR"/>
              </w:rPr>
              <w:t>- Dante Brasil Santos. Nouvelles méthodes d’exploration de la fonction respirato</w:t>
            </w:r>
            <w:r>
              <w:rPr>
                <w:rFonts w:cs="Yu Gothic" w:eastAsia="Yu Gothic"/>
                <w:color w:val="000000"/>
                <w:sz w:val="20"/>
                <w:szCs w:val="20"/>
                <w:lang w:eastAsia="fr-FR"/>
              </w:rPr>
              <w:t>ire des patients neuromusculaires.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cs="Yu Gothic" w:eastAsia="Yu Gothic"/>
                <w:color w:val="000000"/>
                <w:sz w:val="20"/>
                <w:szCs w:val="20"/>
                <w:lang w:eastAsia="fr-FR"/>
              </w:rPr>
              <w:t>Neurosciences [q-bio.NC]. Université Paris Saclay (COmUE), 2016. Français. NNT :v2016SACLV025. tel-01372536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rFonts w:cs="Times New Roman" w:eastAsia="Yu Gothic"/>
                <w:color w:val="000000"/>
                <w:sz w:val="20"/>
                <w:szCs w:val="20"/>
                <w:lang w:eastAsia="fr-FR"/>
              </w:rPr>
              <w:t xml:space="preserve">- </w:t>
            </w:r>
            <w:r>
              <w:rPr>
                <w:color w:val="00000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Style w:val="style22"/>
                <w:color w:val="000000"/>
                <w:sz w:val="20"/>
                <w:szCs w:val="20"/>
              </w:rPr>
              <w:t>Louise Dissous</w:t>
            </w:r>
            <w:r>
              <w:rPr>
                <w:color w:val="000000"/>
                <w:sz w:val="20"/>
                <w:szCs w:val="20"/>
              </w:rPr>
              <w:t>, </w:t>
            </w:r>
            <w:r>
              <w:rPr>
                <w:rStyle w:val="style22"/>
                <w:color w:val="000000"/>
                <w:sz w:val="20"/>
                <w:szCs w:val="20"/>
              </w:rPr>
              <w:t>Elizabeth Cesard</w:t>
            </w:r>
            <w:r>
              <w:rPr>
                <w:color w:val="000000"/>
                <w:sz w:val="20"/>
                <w:szCs w:val="20"/>
              </w:rPr>
              <w:t>, </w:t>
            </w:r>
            <w:r>
              <w:rPr>
                <w:rStyle w:val="style22"/>
                <w:color w:val="000000"/>
                <w:sz w:val="20"/>
                <w:szCs w:val="20"/>
              </w:rPr>
              <w:t>Arnaud Dance</w:t>
            </w:r>
            <w:r>
              <w:rPr>
                <w:color w:val="000000"/>
                <w:sz w:val="20"/>
                <w:szCs w:val="20"/>
              </w:rPr>
              <w:t> et </w:t>
            </w:r>
            <w:r>
              <w:rPr>
                <w:rStyle w:val="style22"/>
                <w:color w:val="000000"/>
                <w:sz w:val="20"/>
                <w:szCs w:val="20"/>
              </w:rPr>
              <w:t>Thierry Tordjmann</w:t>
            </w:r>
            <w:r>
              <w:rPr>
                <w:rStyle w:val="style22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Les lésions hépatiques induites par la cholestase : le rôle de S1PR2. </w:t>
            </w:r>
            <w:r>
              <w:rPr>
                <w:color w:val="000000"/>
                <w:sz w:val="20"/>
                <w:szCs w:val="20"/>
                <w:shd w:fill="FFFFFF" w:val="clear"/>
                <w:lang w:val="en-GB"/>
              </w:rPr>
              <w:t>Med Sci (Paris) 2017 ; 33 : 606–609.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color w:val="000000"/>
                <w:sz w:val="20"/>
                <w:szCs w:val="20"/>
                <w:shd w:fill="FFFFFF" w:val="clear"/>
                <w:lang w:val="en-GB"/>
              </w:rPr>
              <w:t>- Lee YA, Wallace MC, Friedman SL. Pathobiology of liver fibrosis: a translational success story. Gut 2015 ; 64 : 830–841.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  <w:lang w:val="en-GB"/>
              </w:rPr>
              <w:t xml:space="preserve">-  Hepatox. </w:t>
            </w:r>
            <w:hyperlink r:id="rId3">
              <w:r>
                <w:rPr>
                  <w:rStyle w:val="style20"/>
                  <w:sz w:val="20"/>
                  <w:szCs w:val="20"/>
                  <w:lang w:val="en-GB"/>
                </w:rPr>
                <w:t>www.afef.asso.fr/liens/Hepatox/index.phtml 5</w:t>
              </w:r>
            </w:hyperlink>
            <w:r>
              <w:rPr>
                <w:sz w:val="20"/>
                <w:szCs w:val="20"/>
                <w:lang w:val="en-GB"/>
              </w:rPr>
              <w:t xml:space="preserve">. 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  <w:lang w:val="en-GB"/>
              </w:rPr>
              <w:t xml:space="preserve">- Livertox Database. </w:t>
            </w:r>
            <w:hyperlink r:id="rId4">
              <w:r>
                <w:rPr>
                  <w:rStyle w:val="style20"/>
                  <w:sz w:val="20"/>
                  <w:szCs w:val="20"/>
                  <w:lang w:val="en-GB"/>
                </w:rPr>
                <w:t>www.livertox.nih.gov</w:t>
              </w:r>
            </w:hyperlink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</w:rPr>
              <w:t>ttps://fac.umc.edu.dz/vet/Cours_Ligne/Cours/Biochimie_medicale/Rein.pdf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</w:rPr>
              <w:t>- COMITÉ DE LA PRÉVENTION ET DE LA PRÉCAUTION. Les perturbateurs endocriniens : quels risques ? Paris le 19 Décembre 2003.</w:t>
            </w:r>
          </w:p>
          <w:p>
            <w:pPr>
              <w:pStyle w:val="style0"/>
              <w:shd w:fill="FFFFFF" w:val="clear"/>
              <w:spacing w:after="0" w:before="0"/>
              <w:contextualSpacing w:val="false"/>
            </w:pPr>
            <w:r>
              <w:rPr>
                <w:sz w:val="20"/>
                <w:szCs w:val="20"/>
              </w:rPr>
              <w:t>-</w:t>
            </w:r>
            <w:hyperlink r:id="rId5">
              <w:r>
                <w:rPr>
                  <w:rStyle w:val="style20"/>
                  <w:b/>
                  <w:bCs/>
                  <w:i/>
                  <w:iCs/>
                  <w:color w:val="00000A"/>
                  <w:sz w:val="20"/>
                  <w:szCs w:val="20"/>
                </w:rPr>
                <w:t>David J. Kuter</w:t>
              </w:r>
            </w:hyperlink>
            <w:r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7"/>
                <w:sz w:val="20"/>
                <w:szCs w:val="20"/>
              </w:rPr>
              <w:t xml:space="preserve">Analyses de laboratoire pour les maladies du sang ; </w:t>
            </w:r>
            <w:r>
              <w:rPr>
                <w:i/>
                <w:iCs/>
                <w:spacing w:val="2"/>
                <w:sz w:val="20"/>
                <w:szCs w:val="20"/>
              </w:rPr>
              <w:t xml:space="preserve">, MD, DPhil, Harvard Medical School, Revue/Révision complète juin 2021.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- BONNEFONT-ROUSSELOT Dominique, BEAUDEUX Jean-Louis, CHARPIOT </w:t>
            </w:r>
            <w:r>
              <w:rPr>
                <w:sz w:val="20"/>
                <w:szCs w:val="20"/>
              </w:rPr>
              <w:t>Philippe.</w:t>
            </w:r>
            <w:r>
              <w:rPr>
                <w:sz w:val="20"/>
                <w:szCs w:val="20"/>
                <w:shd w:fill="FFFFFF" w:val="clear"/>
              </w:rPr>
              <w:t xml:space="preserve"> Explorations en biochimie médicale : interprétations et orientations diagnostiques</w:t>
            </w:r>
            <w:r>
              <w:rPr>
                <w:shd w:fill="FFFFFF" w:val="clear"/>
              </w:rPr>
              <w:t xml:space="preserve">. </w:t>
            </w:r>
            <w:r>
              <w:rPr>
                <w:color w:val="333333"/>
                <w:sz w:val="21"/>
                <w:szCs w:val="21"/>
              </w:rPr>
              <w:t>432 p.</w:t>
            </w:r>
            <w:r>
              <w:rPr>
                <w:rStyle w:val="style24"/>
                <w:sz w:val="21"/>
                <w:szCs w:val="21"/>
              </w:rPr>
              <w:t>2019.</w:t>
            </w:r>
          </w:p>
        </w:tc>
      </w:tr>
      <w:tr>
        <w:trPr>
          <w:cantSplit w:val="false"/>
        </w:trPr>
        <w:tc>
          <w:tcPr>
            <w:tcW w:type="dxa" w:w="26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المطبوعت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63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مواقع الواب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639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  <w:lang w:val="en-GB"/>
              </w:rPr>
              <w:t xml:space="preserve">-  Hepatox. </w:t>
            </w:r>
            <w:hyperlink r:id="rId6">
              <w:r>
                <w:rPr>
                  <w:rStyle w:val="style20"/>
                  <w:sz w:val="20"/>
                  <w:szCs w:val="20"/>
                  <w:lang w:val="en-GB"/>
                </w:rPr>
                <w:t>www.afef.asso.fr/liens/Hepatox/index.phtml 5</w:t>
              </w:r>
            </w:hyperlink>
            <w:r>
              <w:rPr>
                <w:sz w:val="20"/>
                <w:szCs w:val="20"/>
                <w:lang w:val="en-GB"/>
              </w:rPr>
              <w:t xml:space="preserve">. </w:t>
            </w:r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  <w:lang w:val="en-GB"/>
              </w:rPr>
              <w:t xml:space="preserve">- Livertox Database. </w:t>
            </w:r>
            <w:hyperlink r:id="rId7">
              <w:r>
                <w:rPr>
                  <w:rStyle w:val="style20"/>
                  <w:sz w:val="20"/>
                  <w:szCs w:val="20"/>
                  <w:lang w:val="en-GB"/>
                </w:rPr>
                <w:t>www.livertox.nih.gov</w:t>
              </w:r>
            </w:hyperlink>
          </w:p>
          <w:p>
            <w:pPr>
              <w:pStyle w:val="style0"/>
              <w:spacing w:after="0" w:before="0"/>
              <w:contextualSpacing w:val="false"/>
            </w:pPr>
            <w:r>
              <w:rPr>
                <w:sz w:val="20"/>
                <w:szCs w:val="20"/>
                <w:lang w:val="en-GB"/>
              </w:rPr>
              <w:t xml:space="preserve">- </w:t>
            </w:r>
            <w:hyperlink r:id="rId8">
              <w:r>
                <w:rPr>
                  <w:rStyle w:val="style20"/>
                  <w:sz w:val="20"/>
                  <w:szCs w:val="20"/>
                  <w:lang w:val="en-GB"/>
                </w:rPr>
                <w:t>https://cancer.ca/fr/treatments/tests-and-procedures/blood-chemistry-tests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hyperlink r:id="rId9">
              <w:r>
                <w:rPr>
                  <w:rStyle w:val="style20"/>
                  <w:i/>
                  <w:iCs/>
                  <w:spacing w:val="2"/>
                  <w:sz w:val="20"/>
                  <w:szCs w:val="20"/>
                  <w:lang w:val="en-GB"/>
                </w:rPr>
                <w:t>https://www.msdmanuals.com/fr/accueil/troubles-du-sang/sympt%C3%B4mes-et-diagnostic-des-troubles-sanguins/analyses-de-laboratoire-pour-les-maladies-du-sang</w:t>
              </w:r>
            </w:hyperlink>
          </w:p>
        </w:tc>
      </w:tr>
    </w:tbl>
    <w:p>
      <w:pPr>
        <w:pStyle w:val="style0"/>
      </w:pPr>
      <w:r>
        <w:rPr>
          <w:lang w:val="en-GB"/>
        </w:rPr>
      </w:r>
    </w:p>
    <w:p>
      <w:pPr>
        <w:pStyle w:val="style0"/>
        <w:widowControl/>
        <w:spacing w:after="160" w:before="0" w:line="256" w:lineRule="auto"/>
        <w:contextualSpacing w:val="false"/>
      </w:pPr>
      <w:r>
        <w:rPr/>
      </w:r>
    </w:p>
    <w:p>
      <w:pPr>
        <w:pStyle w:val="style32"/>
        <w:jc w:val="center"/>
      </w:pPr>
      <w:r>
        <w:rPr>
          <w:b/>
          <w:b/>
          <w:bCs/>
          <w:sz w:val="32"/>
          <w:sz w:val="32"/>
          <w:szCs w:val="32"/>
          <w:u w:val="single"/>
          <w:rtl w:val="true"/>
        </w:rPr>
        <w:t>ختم القسم</w:t>
      </w:r>
    </w:p>
    <w:p>
      <w:pPr>
        <w:pStyle w:val="style32"/>
        <w:spacing w:after="120" w:before="0"/>
        <w:contextualSpacing w:val="false"/>
        <w:jc w:val="center"/>
      </w:pPr>
      <w:r>
        <w:rPr/>
      </w:r>
    </w:p>
    <w:sectPr>
      <w:type w:val="nextPage"/>
      <w:pgSz w:h="16838" w:w="11906"/>
      <w:pgMar w:bottom="851" w:footer="0" w:gutter="0" w:header="0" w:left="1418" w:right="1418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1152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4">
    <w:lvl w:ilvl="0">
      <w:start w:val="1"/>
      <w:numFmt w:val="decimal"/>
      <w:lvlText w:val="(%1)"/>
      <w:lvlJc w:val="left"/>
      <w:pPr>
        <w:ind w:hanging="360" w:left="1352"/>
      </w:pPr>
    </w:lvl>
    <w:lvl w:ilvl="1">
      <w:start w:val="1"/>
      <w:numFmt w:val="lowerLetter"/>
      <w:lvlText w:val="%2."/>
      <w:lvlJc w:val="left"/>
      <w:pPr>
        <w:ind w:hanging="360" w:left="2072"/>
      </w:pPr>
    </w:lvl>
    <w:lvl w:ilvl="2">
      <w:start w:val="1"/>
      <w:numFmt w:val="lowerRoman"/>
      <w:lvlText w:val="%3."/>
      <w:lvlJc w:val="right"/>
      <w:pPr>
        <w:ind w:hanging="180" w:left="2792"/>
      </w:pPr>
    </w:lvl>
    <w:lvl w:ilvl="3">
      <w:start w:val="1"/>
      <w:numFmt w:val="decimal"/>
      <w:lvlText w:val="%4."/>
      <w:lvlJc w:val="left"/>
      <w:pPr>
        <w:ind w:hanging="360" w:left="3512"/>
      </w:pPr>
    </w:lvl>
    <w:lvl w:ilvl="4">
      <w:start w:val="1"/>
      <w:numFmt w:val="lowerLetter"/>
      <w:lvlText w:val="%5."/>
      <w:lvlJc w:val="left"/>
      <w:pPr>
        <w:ind w:hanging="360" w:left="4232"/>
      </w:pPr>
    </w:lvl>
    <w:lvl w:ilvl="5">
      <w:start w:val="1"/>
      <w:numFmt w:val="lowerRoman"/>
      <w:lvlText w:val="%6."/>
      <w:lvlJc w:val="right"/>
      <w:pPr>
        <w:ind w:hanging="180" w:left="4952"/>
      </w:pPr>
    </w:lvl>
    <w:lvl w:ilvl="6">
      <w:start w:val="1"/>
      <w:numFmt w:val="decimal"/>
      <w:lvlText w:val="%7."/>
      <w:lvlJc w:val="left"/>
      <w:pPr>
        <w:ind w:hanging="360" w:left="5672"/>
      </w:pPr>
    </w:lvl>
    <w:lvl w:ilvl="7">
      <w:start w:val="1"/>
      <w:numFmt w:val="lowerLetter"/>
      <w:lvlText w:val="%8."/>
      <w:lvlJc w:val="left"/>
      <w:pPr>
        <w:ind w:hanging="360" w:left="6392"/>
      </w:pPr>
    </w:lvl>
    <w:lvl w:ilvl="8">
      <w:start w:val="1"/>
      <w:numFmt w:val="lowerRoman"/>
      <w:lvlText w:val="%9."/>
      <w:lvlJc w:val="right"/>
      <w:pPr>
        <w:ind w:hanging="180" w:left="7112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yle par défaut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Arial" w:eastAsia="Calibri" w:hAnsi="Calibri"/>
      <w:color w:val="auto"/>
      <w:sz w:val="22"/>
      <w:szCs w:val="22"/>
      <w:lang w:bidi="ar-SA" w:eastAsia="en-US" w:val="fr-FR"/>
    </w:rPr>
  </w:style>
  <w:style w:styleId="style1" w:type="paragraph">
    <w:name w:val="Titre 1"/>
    <w:basedOn w:val="style0"/>
    <w:next w:val="style1"/>
    <w:pPr>
      <w:keepNext/>
      <w:keepLines/>
      <w:numPr>
        <w:ilvl w:val="0"/>
        <w:numId w:val="2"/>
      </w:numPr>
      <w:spacing w:after="120" w:before="120"/>
      <w:contextualSpacing w:val="false"/>
    </w:pPr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2" w:type="paragraph">
    <w:name w:val="Titre 2"/>
    <w:basedOn w:val="style0"/>
    <w:next w:val="style2"/>
    <w:pPr>
      <w:numPr>
        <w:ilvl w:val="0"/>
        <w:numId w:val="3"/>
      </w:numPr>
      <w:spacing w:after="120" w:before="160"/>
      <w:ind w:hanging="432" w:left="792" w:right="0"/>
      <w:contextualSpacing w:val="false"/>
    </w:pPr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3" w:type="paragraph">
    <w:name w:val="Titre 3"/>
    <w:basedOn w:val="style0"/>
    <w:next w:val="style3"/>
    <w:pPr>
      <w:keepNext/>
      <w:keepLines/>
      <w:numPr>
        <w:ilvl w:val="0"/>
        <w:numId w:val="1"/>
      </w:numPr>
      <w:spacing w:after="0" w:before="40"/>
      <w:contextualSpacing w:val="false"/>
    </w:pPr>
    <w:rPr>
      <w:rFonts w:ascii="Calibri Light" w:cs="Times New Roman" w:eastAsia="Times New Roman" w:hAnsi="Calibri Light"/>
      <w:color w:val="1F4D78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Titre 1 Car"/>
    <w:basedOn w:val="style15"/>
    <w:next w:val="style16"/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17" w:type="character">
    <w:name w:val="Titre 2 Car"/>
    <w:basedOn w:val="style15"/>
    <w:next w:val="style17"/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18" w:type="character">
    <w:name w:val="Titre 3 Car"/>
    <w:basedOn w:val="style15"/>
    <w:next w:val="style18"/>
    <w:rPr>
      <w:rFonts w:ascii="Calibri Light" w:cs="Times New Roman" w:eastAsia="Times New Roman" w:hAnsi="Calibri Light"/>
      <w:color w:val="1F4D78"/>
      <w:sz w:val="24"/>
      <w:szCs w:val="24"/>
    </w:rPr>
  </w:style>
  <w:style w:styleId="style19" w:type="character">
    <w:name w:val="Placeholder Text"/>
    <w:basedOn w:val="style15"/>
    <w:next w:val="style19"/>
    <w:rPr>
      <w:color w:val="808080"/>
    </w:rPr>
  </w:style>
  <w:style w:styleId="style20" w:type="character">
    <w:name w:val="Lien Internet"/>
    <w:basedOn w:val="style15"/>
    <w:next w:val="style20"/>
    <w:rPr>
      <w:color w:val="0563C1"/>
      <w:u w:val="single"/>
      <w:lang w:bidi="zxx-" w:eastAsia="zxx-" w:val="zxx-"/>
    </w:rPr>
  </w:style>
  <w:style w:styleId="style21" w:type="character">
    <w:name w:val="Texte de bulles Car"/>
    <w:basedOn w:val="style15"/>
    <w:next w:val="style21"/>
    <w:rPr>
      <w:rFonts w:ascii="Tahoma" w:cs="Tahoma" w:hAnsi="Tahoma"/>
      <w:sz w:val="16"/>
      <w:szCs w:val="16"/>
    </w:rPr>
  </w:style>
  <w:style w:styleId="style22" w:type="character">
    <w:name w:val="author"/>
    <w:basedOn w:val="style15"/>
    <w:next w:val="style22"/>
    <w:rPr/>
  </w:style>
  <w:style w:styleId="style23" w:type="character">
    <w:name w:val="Accentuation forte"/>
    <w:basedOn w:val="style15"/>
    <w:next w:val="style23"/>
    <w:rPr>
      <w:b/>
      <w:bCs/>
    </w:rPr>
  </w:style>
  <w:style w:styleId="style24" w:type="character">
    <w:name w:val="date"/>
    <w:basedOn w:val="style15"/>
    <w:next w:val="style24"/>
    <w:rPr/>
  </w:style>
  <w:style w:styleId="style25" w:type="paragraph">
    <w:name w:val="Titre"/>
    <w:basedOn w:val="style0"/>
    <w:next w:val="style2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6" w:type="paragraph">
    <w:name w:val="Corps de texte"/>
    <w:basedOn w:val="style0"/>
    <w:next w:val="style26"/>
    <w:pPr>
      <w:spacing w:after="120" w:before="0"/>
      <w:contextualSpacing w:val="false"/>
    </w:pPr>
    <w:rPr/>
  </w:style>
  <w:style w:styleId="style27" w:type="paragraph">
    <w:name w:val="Liste"/>
    <w:basedOn w:val="style26"/>
    <w:next w:val="style27"/>
    <w:pPr/>
    <w:rPr>
      <w:rFonts w:cs="Mangal"/>
    </w:rPr>
  </w:style>
  <w:style w:styleId="style28" w:type="paragraph">
    <w:name w:val="Légende"/>
    <w:basedOn w:val="style0"/>
    <w:next w:val="style2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9" w:type="paragraph">
    <w:name w:val="Index"/>
    <w:basedOn w:val="style0"/>
    <w:next w:val="style29"/>
    <w:pPr>
      <w:suppressLineNumbers/>
    </w:pPr>
    <w:rPr>
      <w:rFonts w:cs="Mangal"/>
    </w:rPr>
  </w:style>
  <w:style w:styleId="style30" w:type="paragraph">
    <w:name w:val="List Paragraph"/>
    <w:basedOn w:val="style0"/>
    <w:next w:val="style30"/>
    <w:pPr>
      <w:spacing w:after="160" w:before="0"/>
      <w:ind w:hanging="0" w:left="720" w:right="0"/>
      <w:contextualSpacing/>
    </w:pPr>
    <w:rPr/>
  </w:style>
  <w:style w:styleId="style31" w:type="paragraph">
    <w:name w:val="Balloon Text"/>
    <w:basedOn w:val="style0"/>
    <w:next w:val="style31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2" w:type="paragraph">
    <w:name w:val="Contenu de cadre"/>
    <w:basedOn w:val="style26"/>
    <w:next w:val="style3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livres-medicaux.com/editeur/6-sauramps-medical" TargetMode="External"/><Relationship Id="rId3" Type="http://schemas.openxmlformats.org/officeDocument/2006/relationships/hyperlink" Target="http://www.afef.asso.fr/liens/Hepatox/index.phtml 5" TargetMode="External"/><Relationship Id="rId4" Type="http://schemas.openxmlformats.org/officeDocument/2006/relationships/hyperlink" Target="http://www.livertox.nih.gov/" TargetMode="External"/><Relationship Id="rId5" Type="http://schemas.openxmlformats.org/officeDocument/2006/relationships/hyperlink" Target="https://www.msdmanuals.com/fr/accueil/authors/kuter-david" TargetMode="External"/><Relationship Id="rId6" Type="http://schemas.openxmlformats.org/officeDocument/2006/relationships/hyperlink" Target="http://www.afef.asso.fr/liens/Hepatox/index.phtml 5" TargetMode="External"/><Relationship Id="rId7" Type="http://schemas.openxmlformats.org/officeDocument/2006/relationships/hyperlink" Target="http://www.livertox.nih.gov/" TargetMode="External"/><Relationship Id="rId8" Type="http://schemas.openxmlformats.org/officeDocument/2006/relationships/hyperlink" Target="https://cancer.ca/fr/treatments/tests-and-procedures/blood-chemistry-tests" TargetMode="External"/><Relationship Id="rId9" Type="http://schemas.openxmlformats.org/officeDocument/2006/relationships/hyperlink" Target="https://www.msdmanuals.com/fr/accueil/troubles-du-sang/sympt&#244;mes-et-diagnostic-des-troubles-sanguins/analyses-de-laboratoire-pour-les-maladies-du-sang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43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2023-12-16T13:49:00.00Z</dcterms:created>
  <dc:creator>bureau progress2</dc:creator>
  <cp:lastModifiedBy>AKRAM</cp:lastModifiedBy>
  <cp:lastPrinted>2023-02-19T12:06:00.00Z</cp:lastPrinted>
  <dcterms:modified xsi:type="dcterms:W3CDTF">2023-12-16T15:12:00.00Z</dcterms:modified>
  <cp:revision>9</cp:revision>
</cp:coreProperties>
</file>