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cs="Calibri"/>
        </w:rPr>
      </w:r>
    </w:p>
    <w:p>
      <w:pPr>
        <w:pStyle w:val="style0"/>
        <w:jc w:val="center"/>
      </w:pPr>
      <w:r>
        <w:rPr>
          <w:rFonts w:cs="Calibri"/>
          <w:b/>
          <w:bCs/>
          <w:sz w:val="28"/>
          <w:szCs w:val="28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Nom EES : Université Farhat Abbes, Sétif 1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Département : Biochimie</w:t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062"/>
      </w:tblGrid>
      <w:tr>
        <w:trPr>
          <w:cantSplit w:val="false"/>
        </w:trPr>
        <w:tc>
          <w:tcPr>
            <w:tcW w:type="dxa" w:w="906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PROGRAMME DE MATIÈRE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</w:rPr>
              <w:t>(à paraître sur le site Internet de l'institution)</w:t>
            </w:r>
          </w:p>
        </w:tc>
      </w:tr>
      <w:tr>
        <w:trPr>
          <w:cantSplit w:val="false"/>
        </w:trPr>
        <w:tc>
          <w:tcPr>
            <w:tcW w:type="dxa" w:w="906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bookmarkStart w:id="0" w:name="__DdeLink__674_495349873"/>
            <w:r>
              <w:rPr>
                <w:rFonts w:cs="Calibri"/>
                <w:sz w:val="24"/>
              </w:rPr>
              <w:t>Méthodes Physico-chimiques</w:t>
            </w:r>
            <w:bookmarkEnd w:id="0"/>
            <w:r>
              <w:rPr>
                <w:rFonts w:cs="Calibri"/>
                <w:sz w:val="24"/>
              </w:rPr>
              <w:t xml:space="preserve"> des macromolécules biologiques</w:t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4105"/>
        <w:gridCol w:w="4954"/>
      </w:tblGrid>
      <w:tr>
        <w:trPr>
          <w:trHeight w:hRule="atLeast" w:val="547"/>
          <w:cantSplit w:val="false"/>
        </w:trPr>
        <w:tc>
          <w:tcPr>
            <w:tcW w:type="dxa" w:w="4105"/>
            <w:gridSpan w:val="2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32"/>
                <w:szCs w:val="32"/>
              </w:rPr>
              <w:t>PROFESSEUR DE COURS MAGISTRAL</w:t>
            </w:r>
          </w:p>
        </w:tc>
        <w:tc>
          <w:tcPr>
            <w:tcW w:type="dxa" w:w="4954"/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b/>
                <w:bCs/>
                <w:lang w:val="en-US"/>
              </w:rPr>
              <w:t>CHAREF Noureddine</w:t>
            </w:r>
          </w:p>
        </w:tc>
      </w:tr>
      <w:tr>
        <w:trPr>
          <w:cantSplit w:val="false"/>
        </w:trPr>
        <w:tc>
          <w:tcPr>
            <w:tcW w:type="dxa" w:w="4105"/>
            <w:gridSpan w:val="2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  <w:lang w:val="en-US"/>
              </w:rPr>
            </w:r>
          </w:p>
        </w:tc>
        <w:tc>
          <w:tcPr>
            <w:tcW w:type="dxa" w:w="4954"/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Accueil étudiant par semaine</w:t>
            </w:r>
          </w:p>
        </w:tc>
      </w:tr>
      <w:tr>
        <w:trPr>
          <w:cantSplit w:val="false"/>
        </w:trPr>
        <w:tc>
          <w:tcPr>
            <w:tcW w:type="dxa" w:w="16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E-mail</w:t>
            </w:r>
          </w:p>
        </w:tc>
        <w:tc>
          <w:tcPr>
            <w:tcW w:type="dxa" w:w="24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hyperlink r:id="rId2">
              <w:r>
                <w:rPr>
                  <w:rStyle w:val="style76"/>
                  <w:rFonts w:cs="Calibri"/>
                  <w:b/>
                  <w:bCs/>
                </w:rPr>
                <w:t>charefnr@univ-setif.dz</w:t>
              </w:r>
            </w:hyperlink>
          </w:p>
        </w:tc>
        <w:tc>
          <w:tcPr>
            <w:tcW w:type="dxa" w:w="14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Jour:</w:t>
            </w:r>
          </w:p>
        </w:tc>
        <w:tc>
          <w:tcPr>
            <w:tcW w:type="dxa" w:w="120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Dimanche</w:t>
            </w:r>
          </w:p>
        </w:tc>
        <w:tc>
          <w:tcPr>
            <w:tcW w:type="dxa" w:w="99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heure</w:t>
            </w:r>
          </w:p>
        </w:tc>
        <w:tc>
          <w:tcPr>
            <w:tcW w:type="dxa" w:w="132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10h à 11h</w:t>
            </w:r>
          </w:p>
        </w:tc>
      </w:tr>
      <w:tr>
        <w:trPr>
          <w:cantSplit w:val="false"/>
        </w:trPr>
        <w:tc>
          <w:tcPr>
            <w:tcW w:type="dxa" w:w="16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Bureau Tél.</w:t>
            </w:r>
          </w:p>
        </w:tc>
        <w:tc>
          <w:tcPr>
            <w:tcW w:type="dxa" w:w="24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Jour :</w:t>
            </w:r>
          </w:p>
        </w:tc>
        <w:tc>
          <w:tcPr>
            <w:tcW w:type="dxa" w:w="120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Lundi</w:t>
            </w:r>
          </w:p>
        </w:tc>
        <w:tc>
          <w:tcPr>
            <w:tcW w:type="dxa" w:w="99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heure</w:t>
            </w:r>
          </w:p>
        </w:tc>
        <w:tc>
          <w:tcPr>
            <w:tcW w:type="dxa" w:w="132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8 h.  à 9 h.30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9h.30 à11h00</w:t>
            </w:r>
          </w:p>
        </w:tc>
      </w:tr>
      <w:tr>
        <w:trPr>
          <w:cantSplit w:val="false"/>
        </w:trPr>
        <w:tc>
          <w:tcPr>
            <w:tcW w:type="dxa" w:w="16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Tél Secrétariat</w:t>
            </w:r>
          </w:p>
        </w:tc>
        <w:tc>
          <w:tcPr>
            <w:tcW w:type="dxa" w:w="24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Jour :</w:t>
            </w:r>
          </w:p>
        </w:tc>
        <w:tc>
          <w:tcPr>
            <w:tcW w:type="dxa" w:w="120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9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heure</w:t>
            </w:r>
          </w:p>
        </w:tc>
        <w:tc>
          <w:tcPr>
            <w:tcW w:type="dxa" w:w="132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6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Autre</w:t>
            </w:r>
          </w:p>
        </w:tc>
        <w:tc>
          <w:tcPr>
            <w:tcW w:type="dxa" w:w="24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0554123420</w:t>
            </w:r>
          </w:p>
        </w:tc>
        <w:tc>
          <w:tcPr>
            <w:tcW w:type="dxa" w:w="14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Bâtiment :</w:t>
            </w:r>
          </w:p>
        </w:tc>
        <w:tc>
          <w:tcPr>
            <w:tcW w:type="dxa" w:w="120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9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Bureau</w:t>
            </w:r>
          </w:p>
        </w:tc>
        <w:tc>
          <w:tcPr>
            <w:tcW w:type="dxa" w:w="132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B19</w:t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284"/>
      </w:tblGrid>
      <w:tr>
        <w:trPr>
          <w:cantSplit w:val="false"/>
        </w:trPr>
        <w:tc>
          <w:tcPr>
            <w:tcW w:type="dxa" w:w="9284"/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36"/>
                <w:szCs w:val="36"/>
              </w:rPr>
              <w:t>TUTORIELS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36"/>
                <w:szCs w:val="36"/>
              </w:rPr>
              <w:t>(Accueil étudiant par semaine)</w:t>
            </w:r>
          </w:p>
        </w:tc>
      </w:tr>
      <w:tr>
        <w:trPr>
          <w:cantSplit w:val="false"/>
        </w:trPr>
        <w:tc>
          <w:tcPr>
            <w:tcW w:type="dxa" w:w="2235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Noms et prénoms des enseignants</w:t>
            </w:r>
          </w:p>
        </w:tc>
        <w:tc>
          <w:tcPr>
            <w:tcW w:type="dxa" w:w="1104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Bureau/salle de réception</w:t>
            </w:r>
          </w:p>
        </w:tc>
        <w:tc>
          <w:tcPr>
            <w:tcW w:type="dxa" w:w="2268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séance 1</w:t>
            </w:r>
          </w:p>
        </w:tc>
        <w:tc>
          <w:tcPr>
            <w:tcW w:type="dxa" w:w="2410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Séance 2</w:t>
            </w:r>
          </w:p>
        </w:tc>
        <w:tc>
          <w:tcPr>
            <w:tcW w:type="dxa" w:w="1267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Séance 3</w:t>
            </w:r>
          </w:p>
        </w:tc>
      </w:tr>
      <w:tr>
        <w:trPr>
          <w:cantSplit w:val="false"/>
        </w:trPr>
        <w:tc>
          <w:tcPr>
            <w:tcW w:type="dxa" w:w="2235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104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5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Jour</w:t>
            </w:r>
          </w:p>
        </w:tc>
        <w:tc>
          <w:tcPr>
            <w:tcW w:type="dxa" w:w="141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Heure</w:t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Jour</w:t>
            </w:r>
          </w:p>
        </w:tc>
        <w:tc>
          <w:tcPr>
            <w:tcW w:type="dxa" w:w="12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Heure</w:t>
            </w:r>
          </w:p>
        </w:tc>
        <w:tc>
          <w:tcPr>
            <w:tcW w:type="dxa" w:w="5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Jour</w:t>
            </w:r>
          </w:p>
        </w:tc>
        <w:tc>
          <w:tcPr>
            <w:tcW w:type="dxa" w:w="70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Heure</w:t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Charef  Noureddine</w:t>
            </w:r>
            <w:r>
              <w:fldChar w:fldCharType="begin">
                <w:ffData>
                  <w:name w:val="Texte1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" w:name="Texte16"/>
            <w:bookmarkStart w:id="2" w:name="Texte16"/>
            <w:bookmarkEnd w:id="2"/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</w:r>
            <w:r>
              <w:fldChar w:fldCharType="end"/>
            </w:r>
          </w:p>
        </w:tc>
        <w:tc>
          <w:tcPr>
            <w:tcW w:type="dxa" w:w="110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24"/>
                <w:szCs w:val="24"/>
              </w:rPr>
              <w:t>B19</w:t>
            </w:r>
          </w:p>
        </w:tc>
        <w:tc>
          <w:tcPr>
            <w:tcW w:type="dxa" w:w="85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Mardi</w:t>
            </w:r>
          </w:p>
        </w:tc>
        <w:tc>
          <w:tcPr>
            <w:tcW w:type="dxa" w:w="141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8h00-9h.00</w:t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 xml:space="preserve">Mercredi </w:t>
            </w:r>
          </w:p>
        </w:tc>
        <w:tc>
          <w:tcPr>
            <w:tcW w:type="dxa" w:w="12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8h-09h00</w:t>
            </w:r>
          </w:p>
        </w:tc>
        <w:tc>
          <w:tcPr>
            <w:tcW w:type="dxa" w:w="5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0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0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0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0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0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0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0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0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0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0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0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285"/>
      </w:tblGrid>
      <w:tr>
        <w:trPr>
          <w:cantSplit w:val="false"/>
        </w:trPr>
        <w:tc>
          <w:tcPr>
            <w:tcW w:type="dxa" w:w="9285"/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36"/>
                <w:szCs w:val="36"/>
              </w:rPr>
              <w:t>TRAVAUX PRATIQUES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36"/>
                <w:szCs w:val="36"/>
              </w:rPr>
              <w:t>(Accueil étudiant par semaine)</w:t>
            </w:r>
          </w:p>
        </w:tc>
      </w:tr>
      <w:tr>
        <w:trPr>
          <w:cantSplit w:val="false"/>
        </w:trPr>
        <w:tc>
          <w:tcPr>
            <w:tcW w:type="dxa" w:w="2235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Noms et prénoms des enseignants</w:t>
            </w:r>
          </w:p>
        </w:tc>
        <w:tc>
          <w:tcPr>
            <w:tcW w:type="dxa" w:w="1826"/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Bureau/salle de réception</w:t>
            </w:r>
          </w:p>
        </w:tc>
        <w:tc>
          <w:tcPr>
            <w:tcW w:type="dxa" w:w="1985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Séance 1</w:t>
            </w:r>
          </w:p>
        </w:tc>
        <w:tc>
          <w:tcPr>
            <w:tcW w:type="dxa" w:w="1500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Séance 2</w:t>
            </w:r>
          </w:p>
        </w:tc>
        <w:tc>
          <w:tcPr>
            <w:tcW w:type="dxa" w:w="1739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Séance 3</w:t>
            </w:r>
          </w:p>
        </w:tc>
      </w:tr>
      <w:tr>
        <w:trPr>
          <w:cantSplit w:val="false"/>
        </w:trPr>
        <w:tc>
          <w:tcPr>
            <w:tcW w:type="dxa" w:w="2235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826"/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Jour</w:t>
            </w:r>
          </w:p>
        </w:tc>
        <w:tc>
          <w:tcPr>
            <w:tcW w:type="dxa" w:w="97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20"/>
                <w:szCs w:val="20"/>
              </w:rPr>
              <w:t>Heure</w:t>
            </w:r>
          </w:p>
        </w:tc>
        <w:tc>
          <w:tcPr>
            <w:tcW w:type="dxa" w:w="62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Jour</w:t>
            </w:r>
          </w:p>
        </w:tc>
        <w:tc>
          <w:tcPr>
            <w:tcW w:type="dxa" w:w="87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Heure</w:t>
            </w:r>
          </w:p>
        </w:tc>
        <w:tc>
          <w:tcPr>
            <w:tcW w:type="dxa" w:w="10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Jour</w:t>
            </w:r>
          </w:p>
        </w:tc>
        <w:tc>
          <w:tcPr>
            <w:tcW w:type="dxa" w:w="67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D9D9D9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Heure</w:t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0"/>
                <w:szCs w:val="20"/>
              </w:rPr>
            </w:r>
          </w:p>
        </w:tc>
        <w:tc>
          <w:tcPr>
            <w:tcW w:type="dxa" w:w="182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7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2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7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82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7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2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7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82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7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2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7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23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82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7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2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0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7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</w:rPr>
              <w:t>DESCRIPTION DU COURS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Objectif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both"/>
            </w:pPr>
            <w:r>
              <w:rPr>
                <w:rFonts w:ascii="Calibri" w:cs="Times New Roman" w:hAnsi="Calibri"/>
                <w:rtl w:val="true"/>
              </w:rPr>
              <w:t>الغرض من هذا البرنامج بين طرق التحليل الطيفي الأكثر استخدامًا لتوصيف منتجات الت</w:t>
            </w:r>
            <w:r>
              <w:rPr>
                <w:rFonts w:ascii="Calibri" w:cs="Times New Roman" w:hAnsi="Calibri"/>
                <w:rtl w:val="true"/>
                <w:lang w:bidi="ar-DZ"/>
              </w:rPr>
              <w:t>ركيب</w:t>
            </w:r>
            <w:r>
              <w:rPr>
                <w:rFonts w:ascii="Calibri" w:cs="Times New Roman" w:hAnsi="Calibri"/>
                <w:rtl w:val="true"/>
              </w:rPr>
              <w:t xml:space="preserve"> العضوي أو المنتجات الطبيعية المعزولة عن طريق التجزئة الكروماتوغرافية</w:t>
            </w:r>
            <w:r>
              <w:rPr>
                <w:rFonts w:cs="Calibri"/>
                <w:rtl w:val="true"/>
              </w:rPr>
              <w:t>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Type d'unité d'enseignement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Unité d'enseignement fondamental 1 (UEF 1)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Contenu succinct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360" w:lineRule="auto"/>
              <w:jc w:val="both"/>
            </w:pPr>
            <w:r>
              <w:rPr>
                <w:rFonts w:cs="Calibri"/>
                <w:sz w:val="20"/>
                <w:szCs w:val="20"/>
              </w:rPr>
              <w:t xml:space="preserve">Chapitre I : Spectrométrie d’infrarouge,  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cs="Calibri"/>
                <w:sz w:val="20"/>
                <w:szCs w:val="20"/>
              </w:rPr>
              <w:t>Chapitre II : Résonnance magnétique nucléaire proton 1H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cs="Calibri"/>
                <w:sz w:val="20"/>
                <w:szCs w:val="20"/>
              </w:rPr>
              <w:t>Chapitre III : Résonnance magnétique nucléaire Charbon 13 (</w:t>
            </w:r>
            <w:r>
              <w:rPr>
                <w:rFonts w:cs="Calibri"/>
                <w:sz w:val="20"/>
                <w:szCs w:val="20"/>
                <w:vertAlign w:val="superscript"/>
              </w:rPr>
              <w:t>13</w:t>
            </w:r>
            <w:r>
              <w:rPr>
                <w:rFonts w:cs="Calibri"/>
                <w:sz w:val="20"/>
                <w:szCs w:val="20"/>
              </w:rPr>
              <w:t xml:space="preserve">C) </w:t>
            </w:r>
          </w:p>
          <w:p>
            <w:pPr>
              <w:pStyle w:val="style0"/>
              <w:spacing w:after="160" w:before="0" w:line="360" w:lineRule="auto"/>
              <w:contextualSpacing w:val="false"/>
              <w:jc w:val="both"/>
            </w:pPr>
            <w:r>
              <w:rPr>
                <w:rFonts w:cs="Calibri"/>
                <w:sz w:val="20"/>
                <w:szCs w:val="20"/>
              </w:rPr>
              <w:t xml:space="preserve">Chapitre III : Spectrométrie de masse. 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Crédits de matière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03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Coefficient de matière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02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Style w:val="style78"/>
                <w:rFonts w:cs="Calibri"/>
              </w:rPr>
              <w:t>Pondération de participation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2.5 point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Style w:val="style78"/>
                <w:rFonts w:cs="Calibri"/>
              </w:rPr>
              <w:t>Pondération de fréquentation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2.5 point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Style w:val="style78"/>
                <w:rFonts w:cs="Calibri"/>
              </w:rPr>
              <w:t>Calcul moyen</w:t>
            </w:r>
            <w:r>
              <w:rPr>
                <w:rFonts w:cs="Calibri"/>
              </w:rPr>
              <w:t>CC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TD (40 %) ; Contrôle (60 %) 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Style w:val="style78"/>
                <w:rFonts w:cs="Calibri"/>
              </w:rPr>
              <w:t>Compétences ciblées</w:t>
            </w:r>
          </w:p>
        </w:tc>
        <w:tc>
          <w:tcPr>
            <w:tcW w:type="dxa" w:w="651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  <w:sz w:val="24"/>
                <w:szCs w:val="24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</w:rPr>
              <w:t>ÉVALUATION DES CONTRÔLES CONTINUS DES CONNAISSANCES</w:t>
            </w:r>
          </w:p>
        </w:tc>
      </w:tr>
      <w:tr>
        <w:trPr>
          <w:cantSplit w:val="false"/>
        </w:trPr>
        <w:tc>
          <w:tcPr>
            <w:tcW w:type="dxa" w:w="9059"/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</w:rPr>
              <w:t>PREMIER CONTRÔLE DES CONNAISSANCES</w:t>
            </w:r>
          </w:p>
        </w:tc>
      </w:tr>
      <w:tr>
        <w:trPr>
          <w:cantSplit w:val="false"/>
        </w:trPr>
        <w:tc>
          <w:tcPr>
            <w:tcW w:type="dxa" w:w="81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Jour</w:t>
            </w:r>
          </w:p>
        </w:tc>
        <w:tc>
          <w:tcPr>
            <w:tcW w:type="dxa" w:w="991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Séance</w:t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Style w:val="style78"/>
                <w:rFonts w:cs="Calibri"/>
              </w:rPr>
              <w:t>Durée</w:t>
            </w:r>
          </w:p>
        </w:tc>
        <w:tc>
          <w:tcPr>
            <w:tcW w:type="dxa" w:w="9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Type 1)</w:t>
            </w:r>
          </w:p>
        </w:tc>
        <w:tc>
          <w:tcPr>
            <w:tcW w:type="dxa" w:w="9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Doc autorisé (Oui, Non)</w:t>
            </w:r>
          </w:p>
        </w:tc>
        <w:tc>
          <w:tcPr>
            <w:tcW w:type="dxa" w:w="124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Échelle</w:t>
            </w:r>
          </w:p>
        </w:tc>
        <w:tc>
          <w:tcPr>
            <w:tcW w:type="dxa" w:w="172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Style w:val="style78"/>
                <w:rFonts w:cs="Calibri"/>
              </w:rPr>
              <w:t xml:space="preserve">Echange après évaluation </w:t>
            </w:r>
            <w:r>
              <w:rPr>
                <w:rFonts w:cs="Calibri"/>
              </w:rPr>
              <w:t>(date Consulter copie)</w:t>
            </w:r>
          </w:p>
        </w:tc>
        <w:tc>
          <w:tcPr>
            <w:tcW w:type="dxa" w:w="115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Style w:val="style78"/>
                <w:rFonts w:cs="Calibri"/>
              </w:rPr>
              <w:t>Critère d'évaluation</w:t>
            </w:r>
            <w:r>
              <w:rPr>
                <w:rFonts w:cs="Calibri"/>
              </w:rPr>
              <w:t>(2)</w:t>
            </w:r>
          </w:p>
        </w:tc>
      </w:tr>
      <w:tr>
        <w:trPr>
          <w:cantSplit w:val="false"/>
        </w:trPr>
        <w:tc>
          <w:tcPr>
            <w:tcW w:type="dxa" w:w="81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Lundi</w:t>
            </w:r>
          </w:p>
        </w:tc>
        <w:tc>
          <w:tcPr>
            <w:tcW w:type="dxa" w:w="991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10h-11h</w:t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1 h</w:t>
            </w:r>
          </w:p>
        </w:tc>
        <w:tc>
          <w:tcPr>
            <w:tcW w:type="dxa" w:w="9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oui</w:t>
            </w:r>
          </w:p>
        </w:tc>
        <w:tc>
          <w:tcPr>
            <w:tcW w:type="dxa" w:w="124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72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15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9059"/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</w:rPr>
              <w:t>DEUXIÈME CONTRÔLE DES CONNAISSANCES</w:t>
            </w:r>
          </w:p>
        </w:tc>
      </w:tr>
      <w:tr>
        <w:trPr>
          <w:cantSplit w:val="false"/>
        </w:trPr>
        <w:tc>
          <w:tcPr>
            <w:tcW w:type="dxa" w:w="81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Jour</w:t>
            </w:r>
          </w:p>
        </w:tc>
        <w:tc>
          <w:tcPr>
            <w:tcW w:type="dxa" w:w="991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Séance</w:t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Style w:val="style78"/>
                <w:rFonts w:cs="Calibri"/>
              </w:rPr>
              <w:t>Durée</w:t>
            </w:r>
          </w:p>
        </w:tc>
        <w:tc>
          <w:tcPr>
            <w:tcW w:type="dxa" w:w="9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Type 1)</w:t>
            </w:r>
          </w:p>
        </w:tc>
        <w:tc>
          <w:tcPr>
            <w:tcW w:type="dxa" w:w="9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Doc autorisé (Oui, Non)</w:t>
            </w:r>
          </w:p>
        </w:tc>
        <w:tc>
          <w:tcPr>
            <w:tcW w:type="dxa" w:w="124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Échelle</w:t>
            </w:r>
          </w:p>
        </w:tc>
        <w:tc>
          <w:tcPr>
            <w:tcW w:type="dxa" w:w="172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Style w:val="style78"/>
                <w:rFonts w:cs="Calibri"/>
              </w:rPr>
              <w:t xml:space="preserve">Echange après évaluation </w:t>
            </w:r>
            <w:r>
              <w:rPr>
                <w:rFonts w:cs="Calibri"/>
              </w:rPr>
              <w:t>(date Consulter copie)</w:t>
            </w:r>
          </w:p>
        </w:tc>
        <w:tc>
          <w:tcPr>
            <w:tcW w:type="dxa" w:w="115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Style w:val="style78"/>
                <w:rFonts w:cs="Calibri"/>
              </w:rPr>
              <w:t>Critère d'évaluation</w:t>
            </w:r>
            <w:r>
              <w:rPr>
                <w:rFonts w:cs="Calibri"/>
              </w:rPr>
              <w:t>(2)</w:t>
            </w:r>
          </w:p>
        </w:tc>
      </w:tr>
      <w:tr>
        <w:trPr>
          <w:cantSplit w:val="false"/>
        </w:trPr>
        <w:tc>
          <w:tcPr>
            <w:tcW w:type="dxa" w:w="958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1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9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99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24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72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15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</w:tr>
    </w:tbl>
    <w:p>
      <w:pPr>
        <w:pStyle w:val="style86"/>
        <w:numPr>
          <w:ilvl w:val="0"/>
          <w:numId w:val="2"/>
        </w:numPr>
      </w:pPr>
      <w:r>
        <w:rPr>
          <w:rFonts w:cs="Calibri"/>
        </w:rPr>
        <w:t>Type : W= écrit, IP= présentation individuelle, PC=Présentation en classe, EX=expérimentation, QCM</w:t>
      </w:r>
    </w:p>
    <w:p>
      <w:pPr>
        <w:pStyle w:val="style86"/>
        <w:numPr>
          <w:ilvl w:val="0"/>
          <w:numId w:val="2"/>
        </w:numPr>
      </w:pPr>
      <w:r>
        <w:rPr>
          <w:rStyle w:val="style78"/>
          <w:rFonts w:cs="Calibri"/>
        </w:rPr>
        <w:t>Critère d'évaluation</w:t>
      </w:r>
      <w:r>
        <w:rPr>
          <w:rFonts w:cs="Calibri"/>
        </w:rPr>
        <w:t>:A=Analyse, S= synthèse,AR=argumentation, G= démarche, R=résultats</w:t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  <w:lang w:val="en-US"/>
              </w:rPr>
              <w:t>ÉQUIPEMENT ET MATÉRIAUX UTILISÉS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Style w:val="style78"/>
                <w:rFonts w:cs="Calibri"/>
              </w:rPr>
              <w:t>Adresses des plateformes</w:t>
            </w:r>
          </w:p>
        </w:tc>
        <w:tc>
          <w:tcPr>
            <w:tcW w:type="dxa" w:w="69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UFAS-1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Noms des applications (Web, réseau local)</w:t>
            </w:r>
          </w:p>
        </w:tc>
        <w:tc>
          <w:tcPr>
            <w:tcW w:type="dxa" w:w="69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Site Internet du FSNV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lang w:val="en-US"/>
              </w:rPr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Support de cours</w:t>
            </w:r>
          </w:p>
        </w:tc>
        <w:tc>
          <w:tcPr>
            <w:tcW w:type="dxa" w:w="69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Support court (documents)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Style w:val="style78"/>
                <w:rFonts w:cs="Calibri"/>
              </w:rPr>
              <w:t>Matériel de laboratoire</w:t>
            </w:r>
          </w:p>
        </w:tc>
        <w:tc>
          <w:tcPr>
            <w:tcW w:type="dxa" w:w="69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Style w:val="style78"/>
                <w:rFonts w:cs="Calibri"/>
              </w:rPr>
              <w:t>Matériaux de protection</w:t>
            </w:r>
          </w:p>
        </w:tc>
        <w:tc>
          <w:tcPr>
            <w:tcW w:type="dxa" w:w="69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Style w:val="style78"/>
                <w:rFonts w:cs="Calibri"/>
              </w:rPr>
              <w:t>Matériel de sortie de terrain</w:t>
            </w:r>
          </w:p>
        </w:tc>
        <w:tc>
          <w:tcPr>
            <w:tcW w:type="dxa" w:w="693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</w:rPr>
              <w:t>ATTENTES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Style w:val="style78"/>
                <w:rFonts w:cs="Calibri"/>
              </w:rPr>
              <w:t xml:space="preserve">Attentes des étudiants </w:t>
            </w:r>
            <w:r>
              <w:rPr>
                <w:rFonts w:cs="Calibri"/>
              </w:rPr>
              <w:t>(Participation-implication)</w:t>
            </w:r>
          </w:p>
        </w:tc>
        <w:tc>
          <w:tcPr>
            <w:tcW w:type="dxa" w:w="637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 w:eastAsia="Noto Serif CJK SC"/>
              </w:rPr>
              <w:t xml:space="preserve">Cet enseignement a pour objectif d'élaborer les moyens techniques d'études des macromolécules biochimiques en se basant sur les propriétés physicochimques et sur les approches par modélisation. 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Attentes des enseignants</w:t>
            </w:r>
          </w:p>
        </w:tc>
        <w:tc>
          <w:tcPr>
            <w:tcW w:type="dxa" w:w="637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 w:eastAsia="Noto Serif CJK SC"/>
              </w:rPr>
              <w:t>L'accent sera mis sur l'analyse qualitative et quantitative de résultats expérimentaux obtenus par des spectroscopiques et l'utilisation des outils informatiques dans l'analyse de séquences et de structures tridimensionnelles de protéines</w:t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-113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2F2F2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</w:rPr>
              <w:t>BIBLIOGRAPHIE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Livres et ressources numériques</w:t>
            </w:r>
          </w:p>
        </w:tc>
        <w:tc>
          <w:tcPr>
            <w:tcW w:type="dxa" w:w="637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Papiers</w:t>
            </w:r>
          </w:p>
        </w:tc>
        <w:tc>
          <w:tcPr>
            <w:tcW w:type="dxa" w:w="637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  <w:sz w:val="20"/>
                <w:szCs w:val="20"/>
                <w:shd w:fill="FFFFFF" w:val="clear"/>
                <w:lang w:val="en-US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  <w:sz w:val="20"/>
                <w:szCs w:val="20"/>
                <w:shd w:fill="FFFFFF" w:val="clear"/>
                <w:lang w:val="en-US"/>
              </w:rPr>
              <w:t xml:space="preserve">Karbab A, Charef N, et al0. 2021. </w:t>
            </w:r>
            <w:r>
              <w:rPr>
                <w:rFonts w:cs="Calibri"/>
                <w:sz w:val="20"/>
                <w:szCs w:val="20"/>
                <w:shd w:fill="FFFFFF" w:val="clear"/>
              </w:rPr>
              <w:t xml:space="preserve">Documentation ethnomdicale et effets anti-inflammatoires de l'extrait de n-butanol et de quatre composés isolés des tiges de </w:t>
            </w:r>
            <w:r>
              <w:rPr>
                <w:rFonts w:cs="Calibri"/>
                <w:i/>
                <w:iCs/>
                <w:sz w:val="20"/>
                <w:szCs w:val="20"/>
                <w:shd w:fill="FFFFFF" w:val="clear"/>
              </w:rPr>
              <w:t>Pituranthos scoparius</w:t>
            </w:r>
            <w:r>
              <w:rPr>
                <w:rFonts w:cs="Calibri"/>
                <w:sz w:val="20"/>
                <w:szCs w:val="20"/>
                <w:shd w:fill="FFFFFF" w:val="clear"/>
              </w:rPr>
              <w:t xml:space="preserve"> : une enquête in vitro et in vivo. </w:t>
            </w:r>
            <w:r>
              <w:rPr>
                <w:rFonts w:cs="Calibri"/>
                <w:b/>
                <w:bCs/>
                <w:sz w:val="20"/>
                <w:szCs w:val="20"/>
                <w:shd w:fill="FFFFFF" w:val="clear"/>
                <w:lang w:val="en-US"/>
              </w:rPr>
              <w:t>J. Ethnopharmacol</w:t>
            </w:r>
            <w:r>
              <w:rPr>
                <w:rFonts w:cs="Calibri"/>
                <w:sz w:val="20"/>
                <w:szCs w:val="20"/>
                <w:shd w:fill="FFFFFF" w:val="clear"/>
                <w:lang w:val="en-US"/>
              </w:rPr>
              <w:t>., 267: 113488. DOI: 10.1016/j.jep.2020.113488.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hyperlink r:id="rId3">
              <w:r>
                <w:rPr>
                  <w:rStyle w:val="style76"/>
                  <w:rFonts w:cs="Calibri"/>
                  <w:color w:val="1A0DAB"/>
                  <w:sz w:val="20"/>
                  <w:szCs w:val="20"/>
                </w:rPr>
                <w:br/>
              </w:r>
            </w:hyperlink>
            <w:r>
              <w:rPr>
                <w:rFonts w:cs="Calibri"/>
                <w:sz w:val="20"/>
                <w:szCs w:val="20"/>
                <w:shd w:fill="FFFFFF" w:val="clear"/>
                <w:lang w:val="en-US"/>
              </w:rPr>
              <w:t>Charef N et al.2015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hyperlink r:id="rId4">
              <w:r>
                <w:rPr>
                  <w:rStyle w:val="style76"/>
                  <w:rFonts w:cs="Calibri"/>
                  <w:color w:val="00000A"/>
                  <w:sz w:val="20"/>
                  <w:szCs w:val="20"/>
                  <w:shd w:fill="FFFFFF" w:val="clear"/>
                </w:rPr>
                <w:t>Synthesis, characterization, X-ray structures, and biological activity of some metal complexes of the Schiff base 2, 2′-(((azanediylbis (propane-3, 1-diyl)) bis (azanylylidene)) bis (methanylylidene)) diphenol</w:t>
              </w:r>
            </w:hyperlink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color w:val="222222"/>
                <w:sz w:val="20"/>
                <w:szCs w:val="20"/>
                <w:shd w:fill="FFFFFF" w:val="clear"/>
              </w:rPr>
              <w:t>Polyhedron.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Support de cours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37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</w:rPr>
              <w:t>-Concepts, méthodes et applications RMN ; Daniel Canet, Jean-Claude Boubel, Emmanuelle Canet-Soulas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</w:rPr>
              <w:t>- Comment déterminer la structure des molécules organiques ? Françoise Brénon-Audat – Fondation Maison de la Chimie – 2013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Sites Internet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37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  <w:t>Site Internet du FSNV Sétif</w:t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  <w:spacing w:after="160" w:before="0"/>
        <w:contextualSpacing w:val="false"/>
      </w:pPr>
      <w:r>
        <w:rPr/>
      </w:r>
    </w:p>
    <w:p>
      <w:pPr>
        <w:pStyle w:val="style92"/>
        <w:spacing w:after="140" w:before="0"/>
        <w:contextualSpacing w:val="false"/>
        <w:jc w:val="center"/>
      </w:pPr>
      <w:r>
        <w:rPr>
          <w:b/>
          <w:bCs/>
          <w:u w:val="single"/>
        </w:rPr>
        <w:t>Cachet humide du département</w:t>
      </w:r>
    </w:p>
    <w:sectPr>
      <w:type w:val="nextPage"/>
      <w:pgSz w:h="16838" w:w="11906"/>
      <w:pgMar w:bottom="851" w:footer="0" w:gutter="0" w:header="0" w:left="1418" w:right="1418" w:top="851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none"/>
      <w:suff w:val="nothing"/>
      <w:lvlText w:val=""/>
      <w:lvlJc w:val="left"/>
      <w:pPr>
        <w:ind w:hanging="0" w:left="0"/>
      </w:pPr>
    </w:lvl>
    <w:lvl w:ilvl="4">
      <w:start w:val="1"/>
      <w:numFmt w:val="none"/>
      <w:suff w:val="nothing"/>
      <w:lvlText w:val=""/>
      <w:lvlJc w:val="left"/>
      <w:pPr>
        <w:ind w:hanging="0" w:left="0"/>
      </w:pPr>
    </w:lvl>
    <w:lvl w:ilvl="5">
      <w:start w:val="1"/>
      <w:numFmt w:val="none"/>
      <w:suff w:val="nothing"/>
      <w:lvlText w:val=""/>
      <w:lvlJc w:val="left"/>
      <w:pPr>
        <w:ind w:hanging="0" w:left="0"/>
      </w:pPr>
    </w:lvl>
    <w:lvl w:ilvl="6">
      <w:start w:val="1"/>
      <w:numFmt w:val="none"/>
      <w:suff w:val="nothing"/>
      <w:lvlText w:val=""/>
      <w:lvlJc w:val="left"/>
      <w:pPr>
        <w:ind w:hanging="0" w:left="0"/>
      </w:pPr>
    </w:lvl>
    <w:lvl w:ilvl="7">
      <w:start w:val="1"/>
      <w:numFmt w:val="none"/>
      <w:suff w:val="nothing"/>
      <w:lvlText w:val=""/>
      <w:lvlJc w:val="left"/>
      <w:pPr>
        <w:ind w:hanging="0" w:left="0"/>
      </w:pPr>
    </w:lvl>
    <w:lvl w:ilvl="8">
      <w:start w:val="1"/>
      <w:numFmt w:val="none"/>
      <w:suff w:val="nothing"/>
      <w:lvlText w:val=""/>
      <w:lvlJc w:val="left"/>
      <w:pPr>
        <w:ind w:hanging="0" w:left="0"/>
      </w:pPr>
    </w:lvl>
  </w:abstractNum>
  <w:abstractNum w:abstractNumId="2">
    <w:lvl w:ilvl="0">
      <w:start w:val="1"/>
      <w:numFmt w:val="decimal"/>
      <w:lvlText w:val="(%1)"/>
      <w:lvlJc w:val="left"/>
      <w:pPr>
        <w:ind w:hanging="360" w:left="720"/>
      </w:pPr>
      <w:rPr/>
    </w:lvl>
    <w:lvl w:ilvl="1">
      <w:start w:val="1"/>
      <w:numFmt w:val="decimal"/>
      <w:lvlText w:val="%2"/>
      <w:lvlJc w:val="left"/>
      <w:pPr>
        <w:ind w:hanging="360" w:left="1080"/>
      </w:pPr>
    </w:lvl>
    <w:lvl w:ilvl="2">
      <w:start w:val="1"/>
      <w:numFmt w:val="decimal"/>
      <w:lvlText w:val="%3"/>
      <w:lvlJc w:val="left"/>
      <w:pPr>
        <w:ind w:hanging="360" w:left="1440"/>
      </w:pPr>
    </w:lvl>
    <w:lvl w:ilvl="3">
      <w:start w:val="1"/>
      <w:numFmt w:val="decimal"/>
      <w:lvlText w:val="%4"/>
      <w:lvlJc w:val="left"/>
      <w:pPr>
        <w:ind w:hanging="360" w:left="1800"/>
      </w:pPr>
    </w:lvl>
    <w:lvl w:ilvl="4">
      <w:start w:val="1"/>
      <w:numFmt w:val="decimal"/>
      <w:lvlText w:val="%5"/>
      <w:lvlJc w:val="left"/>
      <w:pPr>
        <w:ind w:hanging="360" w:left="2160"/>
      </w:pPr>
    </w:lvl>
    <w:lvl w:ilvl="5">
      <w:start w:val="1"/>
      <w:numFmt w:val="decimal"/>
      <w:lvlText w:val="%6"/>
      <w:lvlJc w:val="left"/>
      <w:pPr>
        <w:ind w:hanging="360" w:left="2520"/>
      </w:pPr>
    </w:lvl>
    <w:lvl w:ilvl="6">
      <w:start w:val="1"/>
      <w:numFmt w:val="decimal"/>
      <w:lvlText w:val="%7"/>
      <w:lvlJc w:val="left"/>
      <w:pPr>
        <w:ind w:hanging="360" w:left="2880"/>
      </w:pPr>
    </w:lvl>
    <w:lvl w:ilvl="7">
      <w:start w:val="1"/>
      <w:numFmt w:val="decimal"/>
      <w:lvlText w:val="%8"/>
      <w:lvlJc w:val="left"/>
      <w:pPr>
        <w:ind w:hanging="360" w:left="3240"/>
      </w:pPr>
    </w:lvl>
    <w:lvl w:ilvl="8">
      <w:start w:val="1"/>
      <w:numFmt w:val="decimal"/>
      <w:lvlText w:val="%9"/>
      <w:lvlJc w:val="left"/>
      <w:pPr>
        <w:ind w:hanging="360" w:left="360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4">
    <w:lvl w:ilvl="0">
      <w:start w:val="1"/>
      <w:numFmt w:val="decimal"/>
      <w:lvlText w:val="%1"/>
      <w:lvlJc w:val="left"/>
      <w:pPr>
        <w:ind w:hanging="432" w:left="432"/>
      </w:pPr>
    </w:lvl>
    <w:lvl w:ilvl="1">
      <w:start w:val="1"/>
      <w:numFmt w:val="decimal"/>
      <w:lvlText w:val="%1.%2"/>
      <w:lvlJc w:val="left"/>
      <w:pPr>
        <w:ind w:hanging="576" w:left="576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864" w:left="864"/>
      </w:pPr>
    </w:lvl>
    <w:lvl w:ilvl="4">
      <w:start w:val="1"/>
      <w:numFmt w:val="decimal"/>
      <w:lvlText w:val="%1.%2.%3.%4.%5"/>
      <w:lvlJc w:val="left"/>
      <w:pPr>
        <w:ind w:hanging="1008" w:left="1008"/>
      </w:pPr>
    </w:lvl>
    <w:lvl w:ilvl="5">
      <w:start w:val="1"/>
      <w:numFmt w:val="decimal"/>
      <w:lvlText w:val="%1.%2.%3.%4.%5.%6"/>
      <w:lvlJc w:val="left"/>
      <w:pPr>
        <w:ind w:hanging="1152" w:left="1152"/>
      </w:pPr>
    </w:lvl>
    <w:lvl w:ilvl="6">
      <w:start w:val="1"/>
      <w:numFmt w:val="decimal"/>
      <w:lvlText w:val="%1.%2.%3.%4.%5.%6.%7"/>
      <w:lvlJc w:val="left"/>
      <w:pPr>
        <w:ind w:hanging="1296" w:left="1296"/>
      </w:pPr>
    </w:lvl>
    <w:lvl w:ilvl="7">
      <w:start w:val="1"/>
      <w:numFmt w:val="decimal"/>
      <w:lvlText w:val="%1.%2.%3.%4.%5.%6.%7.%8"/>
      <w:lvlJc w:val="left"/>
      <w:pPr>
        <w:ind w:hanging="1440" w:left="1440"/>
      </w:pPr>
    </w:lvl>
    <w:lvl w:ilvl="8">
      <w:start w:val="1"/>
      <w:numFmt w:val="decimal"/>
      <w:lvlText w:val="%1.%2.%3.%4.%5.%6.%7.%8.%9"/>
      <w:lvlJc w:val="left"/>
      <w:pPr>
        <w:ind w:hanging="1584" w:left="1584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style w:styleId="style0" w:type="paragraph">
    <w:name w:val="Style par défaut"/>
    <w:next w:val="style0"/>
    <w:pPr>
      <w:widowControl/>
      <w:suppressAutoHyphens w:val="true"/>
      <w:spacing w:after="160" w:before="0" w:line="254" w:lineRule="auto"/>
      <w:contextualSpacing w:val="false"/>
    </w:pPr>
    <w:rPr>
      <w:rFonts w:ascii="Calibri" w:cs="Arial" w:eastAsia="Calibri" w:hAnsi="Calibri"/>
      <w:color w:val="auto"/>
      <w:sz w:val="22"/>
      <w:szCs w:val="22"/>
      <w:lang w:bidi="ar-SA" w:eastAsia="zh-CN" w:val="fr-FR"/>
    </w:rPr>
  </w:style>
  <w:style w:styleId="style1" w:type="paragraph">
    <w:name w:val="Titre 1"/>
    <w:basedOn w:val="style0"/>
    <w:next w:val="style1"/>
    <w:pPr>
      <w:keepNext/>
      <w:keepLines/>
      <w:numPr>
        <w:ilvl w:val="0"/>
        <w:numId w:val="3"/>
      </w:numPr>
      <w:spacing w:after="120" w:before="120"/>
      <w:contextualSpacing w:val="false"/>
    </w:pPr>
    <w:rPr>
      <w:rFonts w:ascii="Calibri Light" w:cs="Times New Roman" w:eastAsia="Times New Roman" w:hAnsi="Calibri Light"/>
      <w:b/>
      <w:bCs/>
      <w:color w:val="00B0F0"/>
      <w:sz w:val="32"/>
      <w:szCs w:val="32"/>
      <w:lang w:val="en-US"/>
    </w:rPr>
  </w:style>
  <w:style w:styleId="style2" w:type="paragraph">
    <w:name w:val="Titre 2"/>
    <w:basedOn w:val="style0"/>
    <w:next w:val="style2"/>
    <w:pPr>
      <w:numPr>
        <w:ilvl w:val="0"/>
        <w:numId w:val="1"/>
      </w:numPr>
      <w:spacing w:after="120" w:before="160"/>
      <w:ind w:hanging="432" w:left="792" w:right="0"/>
      <w:contextualSpacing w:val="false"/>
    </w:pPr>
    <w:rPr>
      <w:rFonts w:ascii="Calibri Light" w:cs="Times New Roman" w:eastAsia="Times New Roman" w:hAnsi="Calibri Light"/>
      <w:b/>
      <w:bCs/>
      <w:i/>
      <w:iCs/>
      <w:color w:val="00B0F0"/>
      <w:sz w:val="26"/>
      <w:szCs w:val="26"/>
      <w:lang w:val="en-US"/>
    </w:rPr>
  </w:style>
  <w:style w:styleId="style3" w:type="paragraph">
    <w:name w:val="Titre 3"/>
    <w:basedOn w:val="style0"/>
    <w:next w:val="style3"/>
    <w:pPr>
      <w:keepNext/>
      <w:keepLines/>
      <w:numPr>
        <w:ilvl w:val="0"/>
        <w:numId w:val="4"/>
      </w:numPr>
      <w:spacing w:after="0" w:before="40"/>
      <w:contextualSpacing w:val="false"/>
    </w:pPr>
    <w:rPr>
      <w:rFonts w:ascii="Calibri Light" w:cs="Times New Roman" w:eastAsia="Times New Roman" w:hAnsi="Calibri Light"/>
      <w:color w:val="1F4D78"/>
      <w:sz w:val="24"/>
      <w:szCs w:val="24"/>
      <w:lang w:val="en-US"/>
    </w:rPr>
  </w:style>
  <w:style w:styleId="style15" w:type="character">
    <w:name w:val="Default Paragraph Font"/>
    <w:next w:val="style15"/>
    <w:rPr/>
  </w:style>
  <w:style w:styleId="style16" w:type="character">
    <w:name w:val="WW8Num1z0"/>
    <w:next w:val="style16"/>
    <w:rPr/>
  </w:style>
  <w:style w:styleId="style17" w:type="character">
    <w:name w:val="WW8Num2z0"/>
    <w:next w:val="style17"/>
    <w:rPr/>
  </w:style>
  <w:style w:styleId="style18" w:type="character">
    <w:name w:val="WW8Num2z1"/>
    <w:next w:val="style18"/>
    <w:rPr/>
  </w:style>
  <w:style w:styleId="style19" w:type="character">
    <w:name w:val="WW8Num2z2"/>
    <w:next w:val="style19"/>
    <w:rPr/>
  </w:style>
  <w:style w:styleId="style20" w:type="character">
    <w:name w:val="WW8Num2z3"/>
    <w:next w:val="style20"/>
    <w:rPr/>
  </w:style>
  <w:style w:styleId="style21" w:type="character">
    <w:name w:val="WW8Num2z4"/>
    <w:next w:val="style21"/>
    <w:rPr/>
  </w:style>
  <w:style w:styleId="style22" w:type="character">
    <w:name w:val="WW8Num2z5"/>
    <w:next w:val="style22"/>
    <w:rPr/>
  </w:style>
  <w:style w:styleId="style23" w:type="character">
    <w:name w:val="WW8Num2z6"/>
    <w:next w:val="style23"/>
    <w:rPr/>
  </w:style>
  <w:style w:styleId="style24" w:type="character">
    <w:name w:val="WW8Num2z7"/>
    <w:next w:val="style24"/>
    <w:rPr/>
  </w:style>
  <w:style w:styleId="style25" w:type="character">
    <w:name w:val="WW8Num2z8"/>
    <w:next w:val="style25"/>
    <w:rPr/>
  </w:style>
  <w:style w:styleId="style26" w:type="character">
    <w:name w:val="WW8Num3z0"/>
    <w:next w:val="style26"/>
    <w:rPr/>
  </w:style>
  <w:style w:styleId="style27" w:type="character">
    <w:name w:val="WW8Num3z1"/>
    <w:next w:val="style27"/>
    <w:rPr/>
  </w:style>
  <w:style w:styleId="style28" w:type="character">
    <w:name w:val="WW8Num3z2"/>
    <w:next w:val="style28"/>
    <w:rPr/>
  </w:style>
  <w:style w:styleId="style29" w:type="character">
    <w:name w:val="WW8Num3z3"/>
    <w:next w:val="style29"/>
    <w:rPr/>
  </w:style>
  <w:style w:styleId="style30" w:type="character">
    <w:name w:val="WW8Num3z4"/>
    <w:next w:val="style30"/>
    <w:rPr/>
  </w:style>
  <w:style w:styleId="style31" w:type="character">
    <w:name w:val="WW8Num3z5"/>
    <w:next w:val="style31"/>
    <w:rPr/>
  </w:style>
  <w:style w:styleId="style32" w:type="character">
    <w:name w:val="WW8Num3z6"/>
    <w:next w:val="style32"/>
    <w:rPr/>
  </w:style>
  <w:style w:styleId="style33" w:type="character">
    <w:name w:val="WW8Num3z7"/>
    <w:next w:val="style33"/>
    <w:rPr/>
  </w:style>
  <w:style w:styleId="style34" w:type="character">
    <w:name w:val="WW8Num3z8"/>
    <w:next w:val="style34"/>
    <w:rPr/>
  </w:style>
  <w:style w:styleId="style35" w:type="character">
    <w:name w:val="WW8Num4z0"/>
    <w:next w:val="style35"/>
    <w:rPr/>
  </w:style>
  <w:style w:styleId="style36" w:type="character">
    <w:name w:val="WW8Num4z1"/>
    <w:next w:val="style36"/>
    <w:rPr/>
  </w:style>
  <w:style w:styleId="style37" w:type="character">
    <w:name w:val="WW8Num4z2"/>
    <w:next w:val="style37"/>
    <w:rPr/>
  </w:style>
  <w:style w:styleId="style38" w:type="character">
    <w:name w:val="WW8Num4z3"/>
    <w:next w:val="style38"/>
    <w:rPr/>
  </w:style>
  <w:style w:styleId="style39" w:type="character">
    <w:name w:val="WW8Num4z4"/>
    <w:next w:val="style39"/>
    <w:rPr/>
  </w:style>
  <w:style w:styleId="style40" w:type="character">
    <w:name w:val="WW8Num4z5"/>
    <w:next w:val="style40"/>
    <w:rPr/>
  </w:style>
  <w:style w:styleId="style41" w:type="character">
    <w:name w:val="WW8Num4z6"/>
    <w:next w:val="style41"/>
    <w:rPr/>
  </w:style>
  <w:style w:styleId="style42" w:type="character">
    <w:name w:val="WW8Num4z7"/>
    <w:next w:val="style42"/>
    <w:rPr/>
  </w:style>
  <w:style w:styleId="style43" w:type="character">
    <w:name w:val="WW8Num4z8"/>
    <w:next w:val="style43"/>
    <w:rPr/>
  </w:style>
  <w:style w:styleId="style44" w:type="character">
    <w:name w:val="WW8Num5z0"/>
    <w:next w:val="style44"/>
    <w:rPr>
      <w:lang w:val="en-US"/>
    </w:rPr>
  </w:style>
  <w:style w:styleId="style45" w:type="character">
    <w:name w:val="WW8Num5z1"/>
    <w:next w:val="style45"/>
    <w:rPr/>
  </w:style>
  <w:style w:styleId="style46" w:type="character">
    <w:name w:val="WW8Num5z2"/>
    <w:next w:val="style46"/>
    <w:rPr/>
  </w:style>
  <w:style w:styleId="style47" w:type="character">
    <w:name w:val="WW8Num5z3"/>
    <w:next w:val="style47"/>
    <w:rPr/>
  </w:style>
  <w:style w:styleId="style48" w:type="character">
    <w:name w:val="WW8Num5z4"/>
    <w:next w:val="style48"/>
    <w:rPr/>
  </w:style>
  <w:style w:styleId="style49" w:type="character">
    <w:name w:val="WW8Num5z5"/>
    <w:next w:val="style49"/>
    <w:rPr/>
  </w:style>
  <w:style w:styleId="style50" w:type="character">
    <w:name w:val="WW8Num5z6"/>
    <w:next w:val="style50"/>
    <w:rPr/>
  </w:style>
  <w:style w:styleId="style51" w:type="character">
    <w:name w:val="WW8Num5z7"/>
    <w:next w:val="style51"/>
    <w:rPr/>
  </w:style>
  <w:style w:styleId="style52" w:type="character">
    <w:name w:val="WW8Num5z8"/>
    <w:next w:val="style52"/>
    <w:rPr/>
  </w:style>
  <w:style w:styleId="style53" w:type="character">
    <w:name w:val="WW8Num6z0"/>
    <w:next w:val="style53"/>
    <w:rPr/>
  </w:style>
  <w:style w:styleId="style54" w:type="character">
    <w:name w:val="WW8Num7z0"/>
    <w:next w:val="style54"/>
    <w:rPr/>
  </w:style>
  <w:style w:styleId="style55" w:type="character">
    <w:name w:val="WW8Num7z1"/>
    <w:next w:val="style55"/>
    <w:rPr/>
  </w:style>
  <w:style w:styleId="style56" w:type="character">
    <w:name w:val="WW8Num7z2"/>
    <w:next w:val="style56"/>
    <w:rPr/>
  </w:style>
  <w:style w:styleId="style57" w:type="character">
    <w:name w:val="WW8Num7z3"/>
    <w:next w:val="style57"/>
    <w:rPr/>
  </w:style>
  <w:style w:styleId="style58" w:type="character">
    <w:name w:val="WW8Num7z4"/>
    <w:next w:val="style58"/>
    <w:rPr/>
  </w:style>
  <w:style w:styleId="style59" w:type="character">
    <w:name w:val="WW8Num7z5"/>
    <w:next w:val="style59"/>
    <w:rPr/>
  </w:style>
  <w:style w:styleId="style60" w:type="character">
    <w:name w:val="WW8Num7z6"/>
    <w:next w:val="style60"/>
    <w:rPr/>
  </w:style>
  <w:style w:styleId="style61" w:type="character">
    <w:name w:val="WW8Num7z7"/>
    <w:next w:val="style61"/>
    <w:rPr/>
  </w:style>
  <w:style w:styleId="style62" w:type="character">
    <w:name w:val="WW8Num7z8"/>
    <w:next w:val="style62"/>
    <w:rPr/>
  </w:style>
  <w:style w:styleId="style63" w:type="character">
    <w:name w:val="WW8Num8z0"/>
    <w:next w:val="style63"/>
    <w:rPr/>
  </w:style>
  <w:style w:styleId="style64" w:type="character">
    <w:name w:val="WW8Num8z1"/>
    <w:next w:val="style64"/>
    <w:rPr/>
  </w:style>
  <w:style w:styleId="style65" w:type="character">
    <w:name w:val="WW8Num8z2"/>
    <w:next w:val="style65"/>
    <w:rPr/>
  </w:style>
  <w:style w:styleId="style66" w:type="character">
    <w:name w:val="WW8Num8z3"/>
    <w:next w:val="style66"/>
    <w:rPr/>
  </w:style>
  <w:style w:styleId="style67" w:type="character">
    <w:name w:val="WW8Num8z4"/>
    <w:next w:val="style67"/>
    <w:rPr/>
  </w:style>
  <w:style w:styleId="style68" w:type="character">
    <w:name w:val="WW8Num8z5"/>
    <w:next w:val="style68"/>
    <w:rPr/>
  </w:style>
  <w:style w:styleId="style69" w:type="character">
    <w:name w:val="WW8Num8z6"/>
    <w:next w:val="style69"/>
    <w:rPr/>
  </w:style>
  <w:style w:styleId="style70" w:type="character">
    <w:name w:val="WW8Num8z7"/>
    <w:next w:val="style70"/>
    <w:rPr/>
  </w:style>
  <w:style w:styleId="style71" w:type="character">
    <w:name w:val="WW8Num8z8"/>
    <w:next w:val="style71"/>
    <w:rPr/>
  </w:style>
  <w:style w:styleId="style72" w:type="character">
    <w:name w:val="Titre 1 Car"/>
    <w:next w:val="style72"/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73" w:type="character">
    <w:name w:val="Titre 2 Car"/>
    <w:next w:val="style73"/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74" w:type="character">
    <w:name w:val="Titre 3 Car"/>
    <w:next w:val="style74"/>
    <w:rPr>
      <w:rFonts w:ascii="Calibri Light" w:cs="Times New Roman" w:eastAsia="Times New Roman" w:hAnsi="Calibri Light"/>
      <w:color w:val="1F4D78"/>
      <w:sz w:val="24"/>
      <w:szCs w:val="24"/>
    </w:rPr>
  </w:style>
  <w:style w:styleId="style75" w:type="character">
    <w:name w:val="Placeholder Text"/>
    <w:next w:val="style75"/>
    <w:rPr>
      <w:color w:val="808080"/>
    </w:rPr>
  </w:style>
  <w:style w:styleId="style76" w:type="character">
    <w:name w:val="Lien Internet"/>
    <w:next w:val="style76"/>
    <w:rPr>
      <w:color w:val="0563C1"/>
      <w:u w:val="single"/>
      <w:lang w:bidi="zxx-" w:eastAsia="zxx-" w:val="zxx-"/>
    </w:rPr>
  </w:style>
  <w:style w:styleId="style77" w:type="character">
    <w:name w:val="Texte de bulles Car"/>
    <w:next w:val="style77"/>
    <w:rPr>
      <w:rFonts w:ascii="Tahoma" w:cs="Tahoma" w:hAnsi="Tahoma"/>
      <w:sz w:val="16"/>
      <w:szCs w:val="16"/>
    </w:rPr>
  </w:style>
  <w:style w:styleId="style78" w:type="character">
    <w:name w:val="rynqvb"/>
    <w:basedOn w:val="style15"/>
    <w:next w:val="style78"/>
    <w:rPr/>
  </w:style>
  <w:style w:styleId="style79" w:type="character">
    <w:name w:val="ListLabel 1"/>
    <w:next w:val="style79"/>
    <w:rPr>
      <w:lang w:val="en-US"/>
    </w:rPr>
  </w:style>
  <w:style w:styleId="style80" w:type="paragraph">
    <w:name w:val="Titre"/>
    <w:basedOn w:val="style0"/>
    <w:next w:val="style81"/>
    <w:pPr>
      <w:keepNext/>
      <w:spacing w:after="120" w:before="240"/>
      <w:contextualSpacing w:val="false"/>
    </w:pPr>
    <w:rPr>
      <w:rFonts w:ascii="Liberation Sans" w:cs="Lohit Devanagari" w:eastAsia="Noto Sans CJK SC" w:hAnsi="Liberation Sans"/>
      <w:sz w:val="28"/>
      <w:szCs w:val="28"/>
    </w:rPr>
  </w:style>
  <w:style w:styleId="style81" w:type="paragraph">
    <w:name w:val="Corps de texte"/>
    <w:basedOn w:val="style0"/>
    <w:next w:val="style81"/>
    <w:pPr>
      <w:spacing w:after="140" w:before="0" w:line="276" w:lineRule="auto"/>
      <w:contextualSpacing w:val="false"/>
    </w:pPr>
    <w:rPr/>
  </w:style>
  <w:style w:styleId="style82" w:type="paragraph">
    <w:name w:val="Liste"/>
    <w:basedOn w:val="style81"/>
    <w:next w:val="style82"/>
    <w:pPr/>
    <w:rPr>
      <w:rFonts w:cs="Lohit Devanagari"/>
    </w:rPr>
  </w:style>
  <w:style w:styleId="style83" w:type="paragraph">
    <w:name w:val="Légende"/>
    <w:basedOn w:val="style0"/>
    <w:next w:val="style8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84" w:type="paragraph">
    <w:name w:val="Index"/>
    <w:basedOn w:val="style0"/>
    <w:next w:val="style84"/>
    <w:pPr>
      <w:suppressLineNumbers/>
    </w:pPr>
    <w:rPr>
      <w:rFonts w:cs="Lohit Devanagari"/>
    </w:rPr>
  </w:style>
  <w:style w:styleId="style85" w:type="paragraph">
    <w:name w:val="caption"/>
    <w:basedOn w:val="style0"/>
    <w:next w:val="style85"/>
    <w:pPr>
      <w:suppressLineNumbers/>
      <w:spacing w:after="120" w:before="120"/>
      <w:contextualSpacing w:val="false"/>
    </w:pPr>
    <w:rPr>
      <w:rFonts w:cs="Lohit Devanagari"/>
      <w:i/>
      <w:iCs/>
      <w:sz w:val="24"/>
      <w:szCs w:val="24"/>
    </w:rPr>
  </w:style>
  <w:style w:styleId="style86" w:type="paragraph">
    <w:name w:val="List Paragraph"/>
    <w:basedOn w:val="style0"/>
    <w:next w:val="style86"/>
    <w:pPr>
      <w:spacing w:after="160" w:before="0"/>
      <w:ind w:hanging="0" w:left="720" w:right="0"/>
      <w:contextualSpacing/>
    </w:pPr>
    <w:rPr/>
  </w:style>
  <w:style w:styleId="style87" w:type="paragraph">
    <w:name w:val="Balloon Text"/>
    <w:basedOn w:val="style0"/>
    <w:next w:val="style87"/>
    <w:pPr>
      <w:spacing w:after="0" w:before="0" w:line="100" w:lineRule="atLeast"/>
      <w:contextualSpacing w:val="false"/>
    </w:pPr>
    <w:rPr>
      <w:rFonts w:ascii="Tahoma" w:cs="Times New Roman" w:hAnsi="Tahoma"/>
      <w:sz w:val="16"/>
      <w:szCs w:val="16"/>
      <w:lang w:val="en-US"/>
    </w:rPr>
  </w:style>
  <w:style w:styleId="style88" w:type="paragraph">
    <w:name w:val="Normal (Web)"/>
    <w:basedOn w:val="style0"/>
    <w:next w:val="style88"/>
    <w:pPr>
      <w:spacing w:after="280" w:before="280" w:line="100" w:lineRule="atLeast"/>
      <w:contextualSpacing w:val="false"/>
    </w:pPr>
    <w:rPr>
      <w:rFonts w:ascii="Times New Roman" w:cs="Times New Roman" w:eastAsia="Times New Roman" w:hAnsi="Times New Roman"/>
      <w:sz w:val="24"/>
      <w:szCs w:val="24"/>
      <w:lang w:val="de-DE"/>
    </w:rPr>
  </w:style>
  <w:style w:styleId="style89" w:type="paragraph">
    <w:name w:val="Contenu de tableau"/>
    <w:basedOn w:val="style0"/>
    <w:next w:val="style89"/>
    <w:pPr>
      <w:widowControl w:val="false"/>
      <w:suppressLineNumbers/>
    </w:pPr>
    <w:rPr/>
  </w:style>
  <w:style w:styleId="style90" w:type="paragraph">
    <w:name w:val="Titre de tableau"/>
    <w:basedOn w:val="style89"/>
    <w:next w:val="style90"/>
    <w:pPr>
      <w:jc w:val="center"/>
    </w:pPr>
    <w:rPr>
      <w:b/>
      <w:bCs/>
    </w:rPr>
  </w:style>
  <w:style w:styleId="style91" w:type="paragraph">
    <w:name w:val="Frame Contents"/>
    <w:basedOn w:val="style0"/>
    <w:next w:val="style91"/>
    <w:pPr/>
    <w:rPr/>
  </w:style>
  <w:style w:styleId="style92" w:type="paragraph">
    <w:name w:val="Contenu de cadre"/>
    <w:basedOn w:val="style81"/>
    <w:next w:val="style92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harefnr@univ-setif.dz" TargetMode="External"/><Relationship Id="rId3" Type="http://schemas.openxmlformats.org/officeDocument/2006/relationships/hyperlink" Target="https://www.academia.edu/download/45101525/Synthesis_characterization_X-ray_structu20160426-10895-1bq93f2.pdf" TargetMode="External"/><Relationship Id="rId4" Type="http://schemas.openxmlformats.org/officeDocument/2006/relationships/hyperlink" Target="https://scholar.google.com/scholar?oi=bibs&amp;cluster=247980962282234413&amp;btnI=1&amp;hl=fr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2023-12-09T20:36:00.00Z</dcterms:created>
  <dc:creator>bureau progress2</dc:creator>
  <dc:language>en</dc:language>
  <cp:lastModifiedBy>User</cp:lastModifiedBy>
  <cp:lastPrinted>2023-02-19T13:06:00.00Z</cp:lastPrinted>
  <dcterms:modified xsi:type="dcterms:W3CDTF">2023-12-24T19:16:00.00Z</dcterms:modified>
  <cp:revision>15</cp:revision>
</cp:coreProperties>
</file>